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4"/>
        <w:jc w:val="both"/>
        <w:spacing w:before="0" w:line="240" w:lineRule="auto"/>
        <w:rPr>
          <w:rFonts w:ascii="Times New Roman" w:hAnsi="Times New Roman" w:cs="Times New Roman" w:eastAsia="Arial Narrow"/>
          <w:b/>
          <w:bCs/>
          <w:color w:val="303642"/>
        </w:rPr>
      </w:pPr>
      <w:r>
        <w:rPr>
          <w:rFonts w:ascii="Times New Roman" w:hAnsi="Times New Roman" w:cs="Times New Roman"/>
          <w:b/>
          <w:bCs/>
          <w:color w:val="303642"/>
        </w:rPr>
        <w:t xml:space="preserve">ПРАВИЛА УЧАСТИЯ В АКЦИИ «НАУКА РЯДОМ»</w:t>
      </w:r>
      <w:r>
        <w:rPr>
          <w:rFonts w:ascii="Times New Roman" w:hAnsi="Times New Roman" w:cs="Times New Roman"/>
          <w:b/>
          <w:bCs/>
          <w:color w:val="303642"/>
        </w:rPr>
        <w:t xml:space="preserve"> </w:t>
      </w:r>
      <w:r>
        <w:rPr>
          <w:rFonts w:ascii="Times New Roman" w:hAnsi="Times New Roman" w:cs="Times New Roman"/>
          <w:b/>
          <w:bCs/>
          <w:color w:val="303642"/>
        </w:rPr>
        <w:t xml:space="preserve">ДЕСЯТИЛЕТИЯ НАУКИ И ТЕХНОЛОГИЙ В РОССИИ</w:t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b/>
          <w:bCs/>
          <w:color w:val="303642"/>
        </w:rPr>
        <w:t xml:space="preserve">Акция «Наука рядом»</w:t>
      </w:r>
      <w:r>
        <w:rPr>
          <w:rFonts w:ascii="Times New Roman" w:hAnsi="Times New Roman" w:cs="Times New Roman"/>
          <w:b/>
          <w:bCs/>
          <w:color w:val="303642"/>
        </w:rPr>
        <w:t xml:space="preserve"> (далее – Акция</w:t>
      </w:r>
      <w:r>
        <w:rPr>
          <w:rFonts w:ascii="Times New Roman" w:hAnsi="Times New Roman" w:cs="Times New Roman"/>
          <w:b/>
          <w:bCs/>
          <w:color w:val="303642"/>
        </w:rPr>
        <w:t xml:space="preserve"> / Акция «Наука рядом»</w:t>
      </w:r>
      <w:r>
        <w:rPr>
          <w:rFonts w:ascii="Times New Roman" w:hAnsi="Times New Roman" w:cs="Times New Roman"/>
          <w:b/>
          <w:bCs/>
          <w:color w:val="303642"/>
        </w:rPr>
        <w:t xml:space="preserve">)</w:t>
      </w:r>
      <w:r>
        <w:rPr>
          <w:rFonts w:ascii="Times New Roman" w:hAnsi="Times New Roman" w:cs="Times New Roman"/>
          <w:b/>
          <w:bCs/>
          <w:color w:val="303642"/>
        </w:rPr>
        <w:t xml:space="preserve"> </w:t>
      </w:r>
      <w:r>
        <w:rPr>
          <w:rFonts w:ascii="Times New Roman" w:hAnsi="Times New Roman" w:cs="Times New Roman"/>
          <w:color w:val="303642"/>
        </w:rPr>
        <w:t xml:space="preserve">– проект Десятилет</w:t>
      </w:r>
      <w:r>
        <w:rPr>
          <w:rFonts w:ascii="Times New Roman" w:hAnsi="Times New Roman" w:cs="Times New Roman"/>
          <w:color w:val="303642"/>
        </w:rPr>
        <w:t xml:space="preserve">ия</w:t>
      </w:r>
      <w:r>
        <w:rPr>
          <w:rFonts w:ascii="Times New Roman" w:hAnsi="Times New Roman" w:cs="Times New Roman"/>
          <w:color w:val="303642"/>
        </w:rPr>
        <w:t xml:space="preserve"> науки и технологий</w:t>
      </w:r>
      <w:r>
        <w:rPr>
          <w:rFonts w:ascii="Times New Roman" w:hAnsi="Times New Roman" w:cs="Times New Roman"/>
          <w:color w:val="303642"/>
        </w:rPr>
        <w:t xml:space="preserve"> в Российской Федерации</w:t>
      </w:r>
      <w:r>
        <w:rPr>
          <w:rFonts w:ascii="Times New Roman" w:hAnsi="Times New Roman" w:cs="Times New Roman"/>
          <w:color w:val="303642"/>
        </w:rPr>
        <w:t xml:space="preserve">, направленный на привлечение талантливой молодежи в сферу исследований и разработок и повышение доступности информации о достижениях и перспективах российской науки для граждан Российской Федерации</w:t>
      </w:r>
      <w:r>
        <w:rPr>
          <w:rFonts w:ascii="Times New Roman" w:hAnsi="Times New Roman" w:cs="Times New Roman"/>
          <w:color w:val="303642"/>
        </w:rPr>
        <w:t xml:space="preserve"> посредств</w:t>
      </w:r>
      <w:r>
        <w:rPr>
          <w:rFonts w:ascii="Times New Roman" w:hAnsi="Times New Roman" w:cs="Times New Roman"/>
          <w:color w:val="303642"/>
        </w:rPr>
        <w:t xml:space="preserve">о</w:t>
      </w:r>
      <w:r>
        <w:rPr>
          <w:rFonts w:ascii="Times New Roman" w:hAnsi="Times New Roman" w:cs="Times New Roman"/>
          <w:color w:val="303642"/>
        </w:rPr>
        <w:t xml:space="preserve">м </w:t>
      </w:r>
      <w:r>
        <w:rPr>
          <w:rFonts w:ascii="Times New Roman" w:hAnsi="Times New Roman" w:cs="Times New Roman"/>
          <w:color w:val="303642"/>
        </w:rPr>
        <w:t xml:space="preserve">их </w:t>
      </w:r>
      <w:r>
        <w:rPr>
          <w:rFonts w:ascii="Times New Roman" w:hAnsi="Times New Roman" w:cs="Times New Roman"/>
          <w:color w:val="303642"/>
        </w:rPr>
        <w:t xml:space="preserve">участия в различных мероприятиях</w:t>
      </w:r>
      <w:r>
        <w:rPr>
          <w:rFonts w:ascii="Times New Roman" w:hAnsi="Times New Roman" w:cs="Times New Roman"/>
          <w:color w:val="303642"/>
        </w:rPr>
        <w:t xml:space="preserve"> (экскурсиях, лекциях), проводимых </w:t>
      </w:r>
      <w:r>
        <w:rPr>
          <w:rFonts w:ascii="Times New Roman" w:hAnsi="Times New Roman" w:cs="Times New Roman" w:eastAsia="Arial Narrow"/>
          <w:color w:val="303642"/>
        </w:rPr>
        <w:t xml:space="preserve">на площадках высокотехнологичных предприятий, научных объектов и организаций во всех регионах </w:t>
      </w:r>
      <w:r>
        <w:rPr>
          <w:rFonts w:ascii="Times New Roman" w:hAnsi="Times New Roman" w:cs="Times New Roman" w:eastAsia="Arial Narrow"/>
          <w:color w:val="303642"/>
        </w:rPr>
        <w:t xml:space="preserve">России.</w:t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</w:r>
      <w:r/>
    </w:p>
    <w:p>
      <w:pPr>
        <w:pStyle w:val="684"/>
        <w:numPr>
          <w:ilvl w:val="0"/>
          <w:numId w:val="2"/>
        </w:numPr>
        <w:jc w:val="both"/>
        <w:spacing w:before="0" w:line="240" w:lineRule="auto"/>
        <w:rPr>
          <w:rFonts w:ascii="Times New Roman" w:hAnsi="Times New Roman" w:cs="Times New Roman"/>
          <w:b/>
          <w:bCs/>
          <w:color w:val="303642"/>
        </w:rPr>
      </w:pPr>
      <w:r>
        <w:rPr>
          <w:rFonts w:ascii="Times New Roman" w:hAnsi="Times New Roman" w:cs="Times New Roman"/>
          <w:b/>
          <w:bCs/>
          <w:color w:val="303642"/>
        </w:rPr>
        <w:t xml:space="preserve">Общие положения </w:t>
      </w:r>
      <w:r>
        <w:rPr>
          <w:rFonts w:ascii="Times New Roman" w:hAnsi="Times New Roman" w:cs="Times New Roman"/>
          <w:b/>
          <w:bCs/>
          <w:color w:val="303642"/>
        </w:rPr>
        <w:t xml:space="preserve">об участии </w:t>
      </w:r>
      <w:r>
        <w:rPr>
          <w:rFonts w:ascii="Times New Roman" w:hAnsi="Times New Roman" w:cs="Times New Roman"/>
          <w:b/>
          <w:bCs/>
          <w:color w:val="303642"/>
        </w:rPr>
        <w:t xml:space="preserve">в </w:t>
      </w:r>
      <w:r>
        <w:rPr>
          <w:rFonts w:ascii="Times New Roman" w:hAnsi="Times New Roman" w:cs="Times New Roman"/>
          <w:b/>
          <w:bCs/>
          <w:color w:val="303642"/>
        </w:rPr>
        <w:t xml:space="preserve">А</w:t>
      </w:r>
      <w:r>
        <w:rPr>
          <w:rFonts w:ascii="Times New Roman" w:hAnsi="Times New Roman" w:cs="Times New Roman"/>
          <w:b/>
          <w:bCs/>
          <w:color w:val="303642"/>
        </w:rPr>
        <w:t xml:space="preserve">кции</w:t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 w:eastAsia="Arial Narrow"/>
          <w:b/>
          <w:bCs/>
          <w:color w:val="303642"/>
        </w:rPr>
      </w:pPr>
      <w:r>
        <w:rPr>
          <w:rFonts w:ascii="Times New Roman" w:hAnsi="Times New Roman" w:cs="Times New Roman" w:eastAsia="Arial Narrow"/>
          <w:b/>
          <w:bCs/>
          <w:color w:val="303642"/>
        </w:rPr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Информация о мероприятиях Акции </w:t>
      </w:r>
      <w:r>
        <w:rPr>
          <w:rFonts w:ascii="Times New Roman" w:hAnsi="Times New Roman" w:cs="Times New Roman"/>
          <w:color w:val="303642"/>
          <w:lang w:val="fr-FR"/>
        </w:rPr>
        <w:t xml:space="preserve">«</w:t>
      </w:r>
      <w:r>
        <w:rPr>
          <w:rFonts w:ascii="Times New Roman" w:hAnsi="Times New Roman" w:cs="Times New Roman"/>
          <w:color w:val="303642"/>
        </w:rPr>
        <w:t xml:space="preserve">Наука рядом» (экскурсиях / лекциях), именуемых далее – </w:t>
      </w:r>
      <w:r>
        <w:rPr>
          <w:rFonts w:ascii="Times New Roman" w:hAnsi="Times New Roman" w:cs="Times New Roman"/>
          <w:color w:val="303642"/>
        </w:rPr>
        <w:t xml:space="preserve">«</w:t>
      </w:r>
      <w:r>
        <w:rPr>
          <w:rFonts w:ascii="Times New Roman" w:hAnsi="Times New Roman" w:cs="Times New Roman"/>
          <w:color w:val="303642"/>
        </w:rPr>
        <w:t xml:space="preserve">мероприятия</w:t>
      </w:r>
      <w:r>
        <w:rPr>
          <w:rFonts w:ascii="Times New Roman" w:hAnsi="Times New Roman" w:cs="Times New Roman"/>
          <w:color w:val="303642"/>
        </w:rPr>
        <w:t xml:space="preserve">»</w:t>
      </w:r>
      <w:r>
        <w:rPr>
          <w:rFonts w:ascii="Times New Roman" w:hAnsi="Times New Roman" w:cs="Times New Roman"/>
          <w:color w:val="303642"/>
        </w:rPr>
        <w:t xml:space="preserve">, размещается на специальной странице официального сайта Десятилетия науки и технологий в Росси</w:t>
      </w:r>
      <w:r>
        <w:rPr>
          <w:rFonts w:ascii="Times New Roman" w:hAnsi="Times New Roman" w:cs="Times New Roman"/>
          <w:color w:val="303642"/>
        </w:rPr>
        <w:t xml:space="preserve">и</w:t>
      </w:r>
      <w:r>
        <w:rPr>
          <w:rFonts w:ascii="Times New Roman" w:hAnsi="Times New Roman" w:cs="Times New Roman"/>
          <w:color w:val="303642"/>
        </w:rPr>
        <w:t xml:space="preserve"> </w:t>
      </w:r>
      <w:bookmarkStart w:id="0" w:name="_Hlk134620854"/>
      <w:r>
        <w:fldChar w:fldCharType="begin"/>
      </w:r>
      <w:r>
        <w:instrText xml:space="preserve"> HYPERLINK "https://наука.рф" </w:instrText>
      </w:r>
      <w:r>
        <w:fldChar w:fldCharType="separate"/>
      </w:r>
      <w:r>
        <w:rPr>
          <w:rStyle w:val="681"/>
          <w:rFonts w:ascii="Times New Roman" w:hAnsi="Times New Roman" w:cs="Times New Roman"/>
          <w:lang w:val="en-US"/>
        </w:rPr>
        <w:t xml:space="preserve">https</w:t>
      </w:r>
      <w:r>
        <w:rPr>
          <w:rStyle w:val="681"/>
          <w:rFonts w:ascii="Times New Roman" w:hAnsi="Times New Roman" w:cs="Times New Roman"/>
        </w:rPr>
        <w:t xml:space="preserve">://наука.рф</w:t>
      </w:r>
      <w:r>
        <w:rPr>
          <w:rStyle w:val="681"/>
          <w:rFonts w:ascii="Times New Roman" w:hAnsi="Times New Roman" w:cs="Times New Roman"/>
        </w:rPr>
        <w:fldChar w:fldCharType="end"/>
      </w:r>
      <w:bookmarkEnd w:id="0"/>
      <w:r>
        <w:rPr>
          <w:rStyle w:val="681"/>
          <w:rFonts w:ascii="Times New Roman" w:hAnsi="Times New Roman" w:cs="Times New Roman"/>
        </w:rPr>
        <w:t xml:space="preserve"> (далее – «сайт Акции»)</w:t>
      </w:r>
      <w:r>
        <w:rPr>
          <w:rFonts w:ascii="Times New Roman" w:hAnsi="Times New Roman" w:cs="Times New Roman"/>
          <w:color w:val="303642"/>
        </w:rPr>
        <w:t xml:space="preserve">.</w:t>
      </w:r>
      <w:r>
        <w:rPr>
          <w:rFonts w:ascii="Times New Roman" w:hAnsi="Times New Roman" w:cs="Times New Roman"/>
          <w:color w:val="303642"/>
        </w:rPr>
        <w:t xml:space="preserve"> Перечень мероприятий не является постоянным и обновляется на странице Акции.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Владельцем сайта Акции является автономная некоммерческая организация «Национальные приоритеты» (</w:t>
      </w:r>
      <w:r>
        <w:rPr>
          <w:rFonts w:ascii="Times New Roman" w:hAnsi="Times New Roman" w:cs="Times New Roman"/>
        </w:rPr>
        <w:t xml:space="preserve">ОГРН 1197700017415, юридический адрес:121069, </w:t>
      </w:r>
      <w:r>
        <w:rPr>
          <w:rFonts w:ascii="Times New Roman" w:hAnsi="Times New Roman" w:cs="Times New Roman"/>
          <w:bCs/>
        </w:rPr>
        <w:t xml:space="preserve">г. Москва, ул. Б.Молчановка, 21А</w:t>
      </w:r>
      <w:r>
        <w:rPr>
          <w:rFonts w:ascii="Times New Roman" w:hAnsi="Times New Roman" w:cs="Times New Roman"/>
          <w:color w:val="303642"/>
        </w:rPr>
        <w:t xml:space="preserve">) – оператор </w:t>
      </w:r>
      <w:r>
        <w:rPr>
          <w:rFonts w:ascii="Times New Roman" w:hAnsi="Times New Roman" w:cs="Times New Roman"/>
          <w:color w:val="303642"/>
        </w:rPr>
        <w:t xml:space="preserve">Десятилет</w:t>
      </w:r>
      <w:r>
        <w:rPr>
          <w:rFonts w:ascii="Times New Roman" w:hAnsi="Times New Roman" w:cs="Times New Roman"/>
          <w:color w:val="303642"/>
        </w:rPr>
        <w:t xml:space="preserve">ия</w:t>
      </w:r>
      <w:r>
        <w:rPr>
          <w:rFonts w:ascii="Times New Roman" w:hAnsi="Times New Roman" w:cs="Times New Roman"/>
          <w:color w:val="303642"/>
        </w:rPr>
        <w:t xml:space="preserve"> науки и технологий в Российской Федерации</w:t>
      </w:r>
      <w:r>
        <w:rPr>
          <w:rFonts w:ascii="Times New Roman" w:hAnsi="Times New Roman" w:cs="Times New Roman"/>
          <w:color w:val="303642"/>
        </w:rPr>
        <w:t xml:space="preserve">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  <w:t xml:space="preserve">Юридические лица, организующие мероприятия на своих площадках</w:t>
      </w:r>
      <w:r>
        <w:rPr>
          <w:rFonts w:ascii="Times New Roman" w:hAnsi="Times New Roman" w:cs="Times New Roman" w:eastAsia="Arial Narrow"/>
          <w:color w:val="303642"/>
        </w:rPr>
        <w:t xml:space="preserve"> (далее – «организаторы мероприятий»)</w:t>
      </w:r>
      <w:r>
        <w:rPr>
          <w:rFonts w:ascii="Times New Roman" w:hAnsi="Times New Roman" w:cs="Times New Roman" w:eastAsia="Arial Narrow"/>
          <w:color w:val="303642"/>
        </w:rPr>
        <w:t xml:space="preserve">, </w:t>
      </w:r>
      <w:r>
        <w:rPr>
          <w:rFonts w:ascii="Times New Roman" w:hAnsi="Times New Roman" w:cs="Times New Roman" w:eastAsia="Arial Narrow"/>
          <w:color w:val="303642"/>
        </w:rPr>
        <w:t xml:space="preserve">самостоятельно </w:t>
      </w:r>
      <w:r>
        <w:rPr>
          <w:rFonts w:ascii="Times New Roman" w:hAnsi="Times New Roman" w:cs="Times New Roman" w:eastAsia="Arial Narrow"/>
          <w:color w:val="303642"/>
        </w:rPr>
        <w:t xml:space="preserve">определяют формат проведения мероприятия, </w:t>
      </w:r>
      <w:r>
        <w:rPr>
          <w:rFonts w:ascii="Times New Roman" w:hAnsi="Times New Roman" w:cs="Times New Roman" w:eastAsia="Arial Narrow"/>
          <w:color w:val="303642"/>
        </w:rPr>
        <w:t xml:space="preserve">порядок проведения и </w:t>
      </w:r>
      <w:r>
        <w:rPr>
          <w:rFonts w:ascii="Times New Roman" w:hAnsi="Times New Roman" w:cs="Times New Roman" w:eastAsia="Arial Narrow"/>
          <w:color w:val="303642"/>
        </w:rPr>
        <w:t xml:space="preserve">условия </w:t>
      </w:r>
      <w:r>
        <w:rPr>
          <w:rFonts w:ascii="Times New Roman" w:hAnsi="Times New Roman" w:cs="Times New Roman" w:eastAsia="Arial Narrow"/>
          <w:color w:val="303642"/>
        </w:rPr>
        <w:t xml:space="preserve">посещения</w:t>
      </w:r>
      <w:r>
        <w:rPr>
          <w:rFonts w:ascii="Times New Roman" w:hAnsi="Times New Roman" w:cs="Times New Roman" w:eastAsia="Arial Narrow"/>
          <w:color w:val="303642"/>
        </w:rPr>
        <w:t xml:space="preserve">, дату проведения, количество доступных мест в группах</w:t>
      </w:r>
      <w:r>
        <w:rPr>
          <w:rFonts w:ascii="Times New Roman" w:hAnsi="Times New Roman" w:cs="Times New Roman" w:eastAsia="Arial Narrow"/>
          <w:color w:val="303642"/>
        </w:rPr>
        <w:t xml:space="preserve"> для посещения мероприятия</w:t>
      </w:r>
      <w:r>
        <w:rPr>
          <w:rFonts w:ascii="Times New Roman" w:hAnsi="Times New Roman" w:cs="Times New Roman" w:eastAsia="Arial Narrow"/>
          <w:color w:val="303642"/>
        </w:rPr>
        <w:t xml:space="preserve">, требования к пользователям для посещения мероприятия, иные особые условия и правила посещения</w:t>
      </w:r>
      <w:r>
        <w:rPr>
          <w:rFonts w:ascii="Times New Roman" w:hAnsi="Times New Roman" w:cs="Times New Roman" w:eastAsia="Arial Narrow"/>
          <w:color w:val="303642"/>
        </w:rPr>
        <w:t xml:space="preserve"> (далее – «условия посещения мероприятия»). Условия посещения каждого мероприятия</w:t>
      </w:r>
      <w:r>
        <w:rPr>
          <w:rFonts w:ascii="Times New Roman" w:hAnsi="Times New Roman" w:cs="Times New Roman" w:eastAsia="Arial Narrow"/>
          <w:color w:val="303642"/>
        </w:rPr>
        <w:t xml:space="preserve"> размещаются на </w:t>
      </w:r>
      <w:r>
        <w:rPr>
          <w:rFonts w:ascii="Times New Roman" w:hAnsi="Times New Roman" w:cs="Times New Roman" w:eastAsia="Arial Narrow"/>
          <w:color w:val="303642"/>
        </w:rPr>
        <w:t xml:space="preserve">отдельной</w:t>
      </w:r>
      <w:r>
        <w:rPr>
          <w:rFonts w:ascii="Times New Roman" w:hAnsi="Times New Roman" w:cs="Times New Roman" w:eastAsia="Arial Narrow"/>
          <w:color w:val="303642"/>
        </w:rPr>
        <w:t xml:space="preserve"> странице </w:t>
      </w:r>
      <w:r>
        <w:rPr>
          <w:rFonts w:ascii="Times New Roman" w:hAnsi="Times New Roman" w:cs="Times New Roman" w:eastAsia="Arial Narrow"/>
          <w:color w:val="303642"/>
        </w:rPr>
        <w:t xml:space="preserve">сайта </w:t>
      </w:r>
      <w:r>
        <w:rPr>
          <w:rFonts w:ascii="Times New Roman" w:hAnsi="Times New Roman" w:cs="Times New Roman" w:eastAsia="Arial Narrow"/>
          <w:color w:val="303642"/>
        </w:rPr>
        <w:t xml:space="preserve">Акции</w:t>
      </w:r>
      <w:r>
        <w:rPr>
          <w:rFonts w:ascii="Times New Roman" w:hAnsi="Times New Roman" w:cs="Times New Roman" w:eastAsia="Arial Narrow"/>
          <w:color w:val="303642"/>
        </w:rPr>
        <w:t xml:space="preserve">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Участие в мероприятиях Акции</w:t>
      </w:r>
      <w:r>
        <w:rPr>
          <w:rFonts w:ascii="Times New Roman" w:hAnsi="Times New Roman" w:cs="Times New Roman"/>
          <w:color w:val="303642"/>
        </w:rPr>
        <w:t xml:space="preserve"> «Наука рядом»</w:t>
      </w:r>
      <w:r>
        <w:rPr>
          <w:rFonts w:ascii="Times New Roman" w:hAnsi="Times New Roman" w:cs="Times New Roman"/>
          <w:color w:val="303642"/>
        </w:rPr>
        <w:t xml:space="preserve"> могут принять граждане Российской Федерации</w:t>
      </w:r>
      <w:r>
        <w:rPr>
          <w:rFonts w:ascii="Times New Roman" w:hAnsi="Times New Roman" w:cs="Times New Roman"/>
          <w:color w:val="303642"/>
        </w:rPr>
        <w:t xml:space="preserve">, достигшие </w:t>
      </w:r>
      <w:r>
        <w:rPr>
          <w:rFonts w:ascii="Times New Roman" w:hAnsi="Times New Roman" w:cs="Times New Roman"/>
          <w:color w:val="303642"/>
        </w:rPr>
        <w:t xml:space="preserve">14 лет</w:t>
      </w:r>
      <w:r>
        <w:rPr>
          <w:rFonts w:ascii="Times New Roman" w:hAnsi="Times New Roman" w:cs="Times New Roman"/>
          <w:color w:val="303642"/>
        </w:rPr>
        <w:t xml:space="preserve"> (именуемые далее – «пользователи»).</w:t>
      </w:r>
      <w:r>
        <w:rPr>
          <w:rFonts w:ascii="Times New Roman" w:hAnsi="Times New Roman" w:cs="Times New Roman"/>
          <w:color w:val="303642"/>
        </w:rPr>
        <w:t xml:space="preserve"> </w:t>
      </w:r>
      <w:r>
        <w:rPr>
          <w:rFonts w:ascii="Times New Roman" w:hAnsi="Times New Roman" w:cs="Times New Roman"/>
          <w:color w:val="303642"/>
        </w:rPr>
        <w:t xml:space="preserve">Правила посещения некоторых мероприятий может предусматривать более старший возраст для пользователей, </w:t>
      </w:r>
      <w:r>
        <w:rPr>
          <w:rFonts w:ascii="Times New Roman" w:hAnsi="Times New Roman" w:cs="Times New Roman"/>
          <w:color w:val="303642"/>
        </w:rPr>
        <w:t xml:space="preserve">информация о возрастных ограничениях размещается на сайте Акции. 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Участие в мероприятиях Акции «Наука рядом» является бесплатным для пользователей</w:t>
      </w:r>
      <w:r>
        <w:rPr>
          <w:rFonts w:ascii="Times New Roman" w:hAnsi="Times New Roman" w:cs="Times New Roman"/>
          <w:color w:val="303642"/>
        </w:rPr>
        <w:t xml:space="preserve">, </w:t>
      </w:r>
      <w:r>
        <w:rPr>
          <w:rFonts w:ascii="Times New Roman" w:hAnsi="Times New Roman" w:cs="Times New Roman"/>
          <w:color w:val="303642"/>
        </w:rPr>
        <w:t xml:space="preserve">зарегистрированных </w:t>
      </w:r>
      <w:r>
        <w:rPr>
          <w:rFonts w:ascii="Times New Roman" w:hAnsi="Times New Roman" w:cs="Times New Roman"/>
          <w:color w:val="303642"/>
        </w:rPr>
        <w:t xml:space="preserve">на мероприятие Акции</w:t>
      </w:r>
      <w:r>
        <w:rPr>
          <w:rFonts w:ascii="Times New Roman" w:hAnsi="Times New Roman" w:cs="Times New Roman"/>
          <w:color w:val="303642"/>
        </w:rPr>
        <w:t xml:space="preserve">.</w:t>
      </w:r>
      <w:r/>
    </w:p>
    <w:p>
      <w:pPr>
        <w:pStyle w:val="684"/>
        <w:ind w:left="420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</w:r>
      <w:r/>
    </w:p>
    <w:p>
      <w:pPr>
        <w:pStyle w:val="684"/>
        <w:numPr>
          <w:ilvl w:val="0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b/>
          <w:color w:val="303642"/>
        </w:rPr>
      </w:pPr>
      <w:r>
        <w:rPr>
          <w:rFonts w:ascii="Times New Roman" w:hAnsi="Times New Roman" w:cs="Times New Roman" w:eastAsia="Arial Narrow"/>
          <w:b/>
          <w:color w:val="303642"/>
        </w:rPr>
        <w:t xml:space="preserve">Требования к пользователям </w:t>
      </w:r>
      <w:r>
        <w:rPr>
          <w:rFonts w:ascii="Times New Roman" w:hAnsi="Times New Roman" w:cs="Times New Roman" w:eastAsia="Arial Narrow"/>
          <w:b/>
          <w:color w:val="303642"/>
        </w:rPr>
        <w:t xml:space="preserve">при регистрации на мероприятия Акции</w:t>
      </w:r>
      <w:r/>
    </w:p>
    <w:p>
      <w:pPr>
        <w:pStyle w:val="684"/>
        <w:ind w:left="420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Пользователь, </w:t>
      </w:r>
      <w:r>
        <w:rPr>
          <w:rFonts w:ascii="Times New Roman" w:hAnsi="Times New Roman" w:cs="Times New Roman"/>
          <w:color w:val="303642"/>
        </w:rPr>
        <w:t xml:space="preserve">заинтересованный в участии</w:t>
      </w:r>
      <w:r>
        <w:rPr>
          <w:rFonts w:ascii="Times New Roman" w:hAnsi="Times New Roman" w:cs="Times New Roman"/>
          <w:color w:val="303642"/>
        </w:rPr>
        <w:t xml:space="preserve"> в </w:t>
      </w:r>
      <w:r>
        <w:rPr>
          <w:rFonts w:ascii="Times New Roman" w:hAnsi="Times New Roman" w:cs="Times New Roman"/>
          <w:color w:val="303642"/>
        </w:rPr>
        <w:t xml:space="preserve">каком-либо </w:t>
      </w:r>
      <w:r>
        <w:rPr>
          <w:rFonts w:ascii="Times New Roman" w:hAnsi="Times New Roman" w:cs="Times New Roman"/>
          <w:color w:val="303642"/>
        </w:rPr>
        <w:t xml:space="preserve">мероприятии Акции «Наука рядом»,</w:t>
      </w:r>
      <w:r>
        <w:rPr>
          <w:rFonts w:ascii="Times New Roman" w:hAnsi="Times New Roman" w:cs="Times New Roman"/>
          <w:color w:val="303642"/>
        </w:rPr>
        <w:t xml:space="preserve"> обязан заполнить форму регистрации на мероприятие. Д</w:t>
      </w:r>
      <w:r>
        <w:rPr>
          <w:rFonts w:ascii="Times New Roman" w:hAnsi="Times New Roman" w:cs="Times New Roman"/>
          <w:color w:val="303642"/>
        </w:rPr>
        <w:t xml:space="preserve">о заполнения соответствующей формы регистрации </w:t>
      </w:r>
      <w:r>
        <w:rPr>
          <w:rFonts w:ascii="Times New Roman" w:hAnsi="Times New Roman" w:cs="Times New Roman"/>
          <w:color w:val="303642"/>
        </w:rPr>
        <w:t xml:space="preserve">пользователь обязан</w:t>
      </w:r>
      <w:r>
        <w:rPr>
          <w:rFonts w:ascii="Times New Roman" w:hAnsi="Times New Roman" w:cs="Times New Roman"/>
          <w:color w:val="303642"/>
        </w:rPr>
        <w:t xml:space="preserve"> ознакомиться с условиями </w:t>
      </w:r>
      <w:r>
        <w:rPr>
          <w:rFonts w:ascii="Times New Roman" w:hAnsi="Times New Roman" w:cs="Times New Roman"/>
          <w:color w:val="auto"/>
        </w:rPr>
        <w:t xml:space="preserve">Пользовательского соглашения</w:t>
      </w:r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Политики конфиденциальности по работе с персональными данными </w:t>
      </w:r>
      <w:bookmarkStart w:id="1" w:name="_Hlk134199648"/>
      <w:r>
        <w:rPr>
          <w:rFonts w:ascii="Times New Roman" w:hAnsi="Times New Roman" w:cs="Times New Roman"/>
          <w:color w:val="303642"/>
        </w:rPr>
        <w:t xml:space="preserve">на сайте </w:t>
      </w:r>
      <w:r>
        <w:rPr>
          <w:rFonts w:ascii="Times New Roman" w:hAnsi="Times New Roman" w:cs="Times New Roman"/>
          <w:color w:val="303642"/>
        </w:rPr>
        <w:t xml:space="preserve">Акции</w:t>
      </w:r>
      <w:r>
        <w:rPr>
          <w:rFonts w:ascii="Times New Roman" w:hAnsi="Times New Roman" w:cs="Times New Roman"/>
          <w:color w:val="303642"/>
        </w:rPr>
        <w:t xml:space="preserve">, а также настоящими Правилами участия в Акции</w:t>
      </w:r>
      <w:r>
        <w:rPr>
          <w:rFonts w:ascii="Times New Roman" w:hAnsi="Times New Roman" w:cs="Times New Roman"/>
          <w:color w:val="303642"/>
        </w:rPr>
        <w:t xml:space="preserve">.</w:t>
      </w:r>
      <w:bookmarkEnd w:id="1"/>
      <w:r>
        <w:rPr>
          <w:rFonts w:ascii="Times New Roman" w:hAnsi="Times New Roman" w:cs="Times New Roman"/>
          <w:color w:val="303642"/>
        </w:rPr>
        <w:t xml:space="preserve"> Таким образом, </w:t>
      </w:r>
      <w:r>
        <w:rPr>
          <w:rFonts w:ascii="Times New Roman" w:hAnsi="Times New Roman" w:cs="Times New Roman"/>
          <w:color w:val="303642"/>
        </w:rPr>
        <w:t xml:space="preserve">направление владельцу сайта Акции заполненн</w:t>
      </w:r>
      <w:r>
        <w:rPr>
          <w:rFonts w:ascii="Times New Roman" w:hAnsi="Times New Roman" w:cs="Times New Roman"/>
          <w:color w:val="303642"/>
        </w:rPr>
        <w:t xml:space="preserve">ой</w:t>
      </w:r>
      <w:r>
        <w:rPr>
          <w:rFonts w:ascii="Times New Roman" w:hAnsi="Times New Roman" w:cs="Times New Roman"/>
          <w:color w:val="303642"/>
        </w:rPr>
        <w:t xml:space="preserve"> регистрационн</w:t>
      </w:r>
      <w:r>
        <w:rPr>
          <w:rFonts w:ascii="Times New Roman" w:hAnsi="Times New Roman" w:cs="Times New Roman"/>
          <w:color w:val="303642"/>
        </w:rPr>
        <w:t xml:space="preserve">ой</w:t>
      </w:r>
      <w:r>
        <w:rPr>
          <w:rFonts w:ascii="Times New Roman" w:hAnsi="Times New Roman" w:cs="Times New Roman"/>
          <w:color w:val="303642"/>
        </w:rPr>
        <w:t xml:space="preserve"> форм</w:t>
      </w:r>
      <w:r>
        <w:rPr>
          <w:rFonts w:ascii="Times New Roman" w:hAnsi="Times New Roman" w:cs="Times New Roman"/>
          <w:color w:val="303642"/>
        </w:rPr>
        <w:t xml:space="preserve">ы</w:t>
      </w:r>
      <w:r>
        <w:rPr>
          <w:rFonts w:ascii="Times New Roman" w:hAnsi="Times New Roman" w:cs="Times New Roman"/>
          <w:color w:val="303642"/>
        </w:rPr>
        <w:t xml:space="preserve"> </w:t>
      </w:r>
      <w:r>
        <w:rPr>
          <w:rFonts w:ascii="Times New Roman" w:hAnsi="Times New Roman" w:cs="Times New Roman"/>
          <w:color w:val="303642"/>
        </w:rPr>
        <w:t xml:space="preserve">на участие</w:t>
      </w:r>
      <w:r>
        <w:rPr>
          <w:rFonts w:ascii="Times New Roman" w:hAnsi="Times New Roman" w:cs="Times New Roman"/>
          <w:color w:val="303642"/>
        </w:rPr>
        <w:t xml:space="preserve"> </w:t>
      </w:r>
      <w:r>
        <w:rPr>
          <w:rFonts w:ascii="Times New Roman" w:hAnsi="Times New Roman" w:cs="Times New Roman"/>
          <w:color w:val="303642"/>
        </w:rPr>
        <w:t xml:space="preserve">в </w:t>
      </w:r>
      <w:r>
        <w:rPr>
          <w:rFonts w:ascii="Times New Roman" w:hAnsi="Times New Roman" w:cs="Times New Roman"/>
          <w:color w:val="303642"/>
        </w:rPr>
        <w:t xml:space="preserve">мероприяти</w:t>
      </w:r>
      <w:r>
        <w:rPr>
          <w:rFonts w:ascii="Times New Roman" w:hAnsi="Times New Roman" w:cs="Times New Roman"/>
          <w:color w:val="303642"/>
        </w:rPr>
        <w:t xml:space="preserve">и</w:t>
      </w:r>
      <w:r>
        <w:rPr>
          <w:rFonts w:ascii="Times New Roman" w:hAnsi="Times New Roman" w:cs="Times New Roman"/>
          <w:color w:val="303642"/>
        </w:rPr>
        <w:t xml:space="preserve"> Акции </w:t>
      </w:r>
      <w:r>
        <w:rPr>
          <w:rFonts w:ascii="Times New Roman" w:hAnsi="Times New Roman" w:cs="Times New Roman"/>
          <w:color w:val="303642"/>
        </w:rPr>
        <w:t xml:space="preserve">рассматривается владельцем сайта Акции как безусловное</w:t>
      </w:r>
      <w:r>
        <w:rPr>
          <w:rFonts w:ascii="Times New Roman" w:hAnsi="Times New Roman" w:cs="Times New Roman"/>
          <w:color w:val="303642"/>
        </w:rPr>
        <w:t xml:space="preserve">, полное и безоговорочное</w:t>
      </w:r>
      <w:r>
        <w:rPr>
          <w:rFonts w:ascii="Times New Roman" w:hAnsi="Times New Roman" w:cs="Times New Roman"/>
          <w:color w:val="303642"/>
        </w:rPr>
        <w:t xml:space="preserve"> согласие </w:t>
      </w:r>
      <w:r>
        <w:rPr>
          <w:rFonts w:ascii="Times New Roman" w:hAnsi="Times New Roman" w:cs="Times New Roman"/>
          <w:color w:val="303642"/>
        </w:rPr>
        <w:t xml:space="preserve">(акцепт) </w:t>
      </w:r>
      <w:r>
        <w:rPr>
          <w:rFonts w:ascii="Times New Roman" w:hAnsi="Times New Roman" w:cs="Times New Roman"/>
          <w:color w:val="303642"/>
        </w:rPr>
        <w:t xml:space="preserve">пользователя </w:t>
      </w:r>
      <w:r>
        <w:rPr>
          <w:rFonts w:ascii="Times New Roman" w:hAnsi="Times New Roman" w:cs="Times New Roman"/>
          <w:color w:val="303642"/>
        </w:rPr>
        <w:t xml:space="preserve">с указанными документами: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Пользовательск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им соглашением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,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Полити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кой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конфиденциальности по работе с персональными данными</w:t>
      </w:r>
      <w:r>
        <w:rPr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на сайте Акции, а также настоящими Правилами участия в Акции</w:t>
      </w:r>
      <w:r>
        <w:rPr>
          <w:rFonts w:ascii="Times New Roman" w:hAnsi="Times New Roman" w:cs="Times New Roman"/>
          <w:color w:val="303642"/>
        </w:rPr>
        <w:t xml:space="preserve">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Для участия в мероприятии Акции</w:t>
      </w:r>
      <w:r>
        <w:rPr>
          <w:rFonts w:ascii="Times New Roman" w:hAnsi="Times New Roman" w:cs="Times New Roman"/>
          <w:color w:val="303642"/>
          <w:lang w:val="fr-FR"/>
        </w:rPr>
        <w:t xml:space="preserve"> «</w:t>
      </w:r>
      <w:r>
        <w:rPr>
          <w:rFonts w:ascii="Times New Roman" w:hAnsi="Times New Roman" w:cs="Times New Roman"/>
          <w:color w:val="303642"/>
        </w:rPr>
        <w:t xml:space="preserve">Наука рядом» пользователю необходимо</w:t>
      </w:r>
      <w:r>
        <w:rPr>
          <w:rFonts w:ascii="Times New Roman" w:hAnsi="Times New Roman" w:cs="Times New Roman"/>
          <w:color w:val="303642"/>
        </w:rPr>
        <w:t xml:space="preserve">:</w:t>
      </w:r>
      <w:r/>
    </w:p>
    <w:p>
      <w:pPr>
        <w:pStyle w:val="684"/>
        <w:numPr>
          <w:ilvl w:val="0"/>
          <w:numId w:val="6"/>
        </w:numPr>
        <w:ind w:hanging="714"/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выбрать на странице Акции интересующее его мероприятие</w:t>
      </w:r>
      <w:r>
        <w:rPr>
          <w:rFonts w:ascii="Times New Roman" w:hAnsi="Times New Roman" w:cs="Times New Roman"/>
          <w:color w:val="303642"/>
        </w:rPr>
        <w:t xml:space="preserve"> и</w:t>
      </w:r>
      <w:r>
        <w:rPr>
          <w:rFonts w:ascii="Times New Roman" w:hAnsi="Times New Roman" w:cs="Times New Roman"/>
          <w:color w:val="303642"/>
        </w:rPr>
        <w:t xml:space="preserve">, при наличии свободных для записи мест в группе,</w:t>
      </w:r>
      <w:r>
        <w:rPr>
          <w:rFonts w:ascii="Times New Roman" w:hAnsi="Times New Roman" w:cs="Times New Roman"/>
          <w:color w:val="303642"/>
        </w:rPr>
        <w:t xml:space="preserve"> нажать кнопку «Записаться»</w:t>
      </w:r>
      <w:r>
        <w:rPr>
          <w:rFonts w:ascii="Times New Roman" w:hAnsi="Times New Roman" w:cs="Times New Roman"/>
          <w:color w:val="303642"/>
        </w:rPr>
        <w:t xml:space="preserve">;</w:t>
      </w:r>
      <w:r/>
    </w:p>
    <w:p>
      <w:pPr>
        <w:pStyle w:val="684"/>
        <w:numPr>
          <w:ilvl w:val="0"/>
          <w:numId w:val="6"/>
        </w:numPr>
        <w:ind w:hanging="714"/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внимательно ознакомиться со всей информацией по мероприят</w:t>
      </w:r>
      <w:r>
        <w:rPr>
          <w:rFonts w:ascii="Times New Roman" w:hAnsi="Times New Roman" w:cs="Times New Roman"/>
          <w:color w:val="303642"/>
        </w:rPr>
        <w:t xml:space="preserve">ию / правилам посещения мероприятия / возрастным ограничениям для посещения мероприятия и прочей информацией;</w:t>
      </w:r>
      <w:r/>
    </w:p>
    <w:p>
      <w:pPr>
        <w:pStyle w:val="684"/>
        <w:numPr>
          <w:ilvl w:val="0"/>
          <w:numId w:val="6"/>
        </w:numPr>
        <w:ind w:hanging="714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заполнить форму регистрации на мероприятие (далее – форму)</w:t>
      </w:r>
      <w:r>
        <w:rPr>
          <w:rFonts w:ascii="Times New Roman" w:hAnsi="Times New Roman" w:cs="Times New Roman"/>
          <w:color w:val="303642"/>
        </w:rPr>
        <w:t xml:space="preserve">, предоставив актуальные и </w:t>
      </w:r>
      <w:r>
        <w:rPr>
          <w:rFonts w:ascii="Times New Roman" w:hAnsi="Times New Roman" w:cs="Times New Roman"/>
          <w:color w:val="303642"/>
        </w:rPr>
        <w:t xml:space="preserve">достоверные</w:t>
      </w:r>
      <w:r>
        <w:rPr>
          <w:rFonts w:ascii="Times New Roman" w:hAnsi="Times New Roman" w:cs="Times New Roman"/>
          <w:color w:val="303642"/>
        </w:rPr>
        <w:t xml:space="preserve"> сведения</w:t>
      </w:r>
      <w:r>
        <w:rPr>
          <w:rFonts w:ascii="Times New Roman" w:hAnsi="Times New Roman" w:cs="Times New Roman"/>
          <w:color w:val="303642"/>
        </w:rPr>
        <w:t xml:space="preserve"> о себе</w:t>
      </w:r>
      <w:r>
        <w:rPr>
          <w:rFonts w:ascii="Times New Roman" w:hAnsi="Times New Roman" w:cs="Times New Roman"/>
          <w:color w:val="303642"/>
        </w:rPr>
        <w:t xml:space="preserve">. Форма содержит сведения, относящиеся к персональным данным. Заполняя форму, пользователь выражает свое согласие на обработку его персональных данных, также пользователь дает свое согласие на получение e-mail рассылки, касающейся проводимого мероприятия.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  <w:t xml:space="preserve">При несоблюдении пользователем порядка, изложенного в п.2.2. настоящих </w:t>
      </w:r>
      <w:r>
        <w:rPr>
          <w:rFonts w:ascii="Times New Roman" w:hAnsi="Times New Roman" w:cs="Times New Roman" w:eastAsia="Arial Narrow"/>
          <w:color w:val="303642"/>
        </w:rPr>
        <w:t xml:space="preserve">П</w:t>
      </w:r>
      <w:r>
        <w:rPr>
          <w:rFonts w:ascii="Times New Roman" w:hAnsi="Times New Roman" w:cs="Times New Roman" w:eastAsia="Arial Narrow"/>
          <w:color w:val="303642"/>
        </w:rPr>
        <w:t xml:space="preserve">равил, ему может быть отказано в участии в мероприятии.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  <w:t xml:space="preserve">Подтверждением факта регистрации пользователя на мероприятие будет являться направление письма-приглашения на </w:t>
      </w:r>
      <w:r>
        <w:rPr>
          <w:rFonts w:ascii="Times New Roman" w:hAnsi="Times New Roman" w:cs="Times New Roman" w:eastAsia="Arial Narrow"/>
          <w:color w:val="303642"/>
        </w:rPr>
        <w:t xml:space="preserve">адрес электронной почты</w:t>
      </w:r>
      <w:r>
        <w:rPr>
          <w:rFonts w:ascii="Times New Roman" w:hAnsi="Times New Roman" w:cs="Times New Roman" w:eastAsia="Arial Narrow"/>
          <w:color w:val="303642"/>
        </w:rPr>
        <w:t xml:space="preserve"> пользователя, указанный им при заполнении формы.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bCs/>
          <w:color w:val="303642"/>
        </w:rPr>
        <w:t xml:space="preserve">Один пользователь вправе подать только одну заявку (заполнить форму) на конкретное мероприятие. </w:t>
      </w:r>
      <w:r>
        <w:rPr>
          <w:rFonts w:ascii="Times New Roman" w:hAnsi="Times New Roman" w:cs="Times New Roman"/>
          <w:color w:val="303642"/>
        </w:rPr>
        <w:t xml:space="preserve">Не допускается регистрация одним лицом нескольких заявок на конкретное мероприятие, содержащих одинаковую уникальную информацию </w:t>
      </w:r>
      <w:r>
        <w:rPr>
          <w:rFonts w:ascii="Times New Roman" w:hAnsi="Times New Roman" w:cs="Times New Roman"/>
          <w:color w:val="303642"/>
        </w:rPr>
        <w:t xml:space="preserve">о пользователе </w:t>
      </w:r>
      <w:r>
        <w:rPr>
          <w:rFonts w:ascii="Times New Roman" w:hAnsi="Times New Roman" w:cs="Times New Roman"/>
          <w:color w:val="303642"/>
        </w:rPr>
        <w:t xml:space="preserve">(ФИО, номер телефона, </w:t>
      </w:r>
      <w:r>
        <w:rPr>
          <w:rFonts w:ascii="Times New Roman" w:hAnsi="Times New Roman" w:cs="Times New Roman"/>
          <w:color w:val="303642"/>
        </w:rPr>
        <w:t xml:space="preserve">адрес электронной почты</w:t>
      </w:r>
      <w:r>
        <w:rPr>
          <w:rFonts w:ascii="Times New Roman" w:hAnsi="Times New Roman" w:cs="Times New Roman"/>
          <w:color w:val="303642"/>
        </w:rPr>
        <w:t xml:space="preserve">) как в целом, так и в части. В случае выявления фактов регистрации одним лицом нескольких заявок, доступ к мероприятиям Акции может быть ограничен для данного пользователя.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Если зарегистрированный на мероприятие пользователь не сможет посетить мероприятие, он обязан в срок не позднее одних суток до дня проведения мероприятия сообщить об этом </w:t>
      </w:r>
      <w:r>
        <w:rPr>
          <w:rFonts w:ascii="Times New Roman" w:hAnsi="Times New Roman" w:cs="Times New Roman"/>
          <w:color w:val="303642"/>
        </w:rPr>
        <w:t xml:space="preserve">владельцу сайта Акции </w:t>
      </w:r>
      <w:r>
        <w:rPr>
          <w:rFonts w:ascii="Times New Roman" w:hAnsi="Times New Roman" w:cs="Times New Roman"/>
          <w:color w:val="303642"/>
        </w:rPr>
        <w:t xml:space="preserve">в ответ на направленное ему ранее письмо-приглашение. </w:t>
      </w:r>
      <w:r>
        <w:rPr>
          <w:rFonts w:ascii="Times New Roman" w:hAnsi="Times New Roman" w:cs="Times New Roman"/>
          <w:color w:val="303642"/>
        </w:rPr>
        <w:br/>
      </w:r>
      <w:r>
        <w:rPr>
          <w:rFonts w:ascii="Times New Roman" w:hAnsi="Times New Roman" w:cs="Times New Roman"/>
          <w:color w:val="303642"/>
        </w:rPr>
        <w:t xml:space="preserve">В противном случае такому пользователю может быть отказано в записи на последующие мероприятия.</w:t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</w:r>
      <w:r/>
    </w:p>
    <w:p>
      <w:pPr>
        <w:pStyle w:val="684"/>
        <w:numPr>
          <w:ilvl w:val="0"/>
          <w:numId w:val="5"/>
        </w:numPr>
        <w:jc w:val="both"/>
        <w:spacing w:before="0" w:line="240" w:lineRule="auto"/>
        <w:rPr>
          <w:rFonts w:ascii="Times New Roman" w:hAnsi="Times New Roman" w:cs="Times New Roman"/>
          <w:b/>
          <w:color w:val="303642"/>
        </w:rPr>
      </w:pPr>
      <w:r>
        <w:rPr>
          <w:rFonts w:ascii="Times New Roman" w:hAnsi="Times New Roman" w:cs="Times New Roman"/>
          <w:b/>
          <w:color w:val="303642"/>
        </w:rPr>
        <w:t xml:space="preserve">Порядок отмены/изменения мероприятий</w:t>
      </w:r>
      <w:r/>
    </w:p>
    <w:p>
      <w:pPr>
        <w:pStyle w:val="684"/>
        <w:ind w:left="420"/>
        <w:jc w:val="both"/>
        <w:spacing w:before="0" w:line="240" w:lineRule="auto"/>
        <w:rPr>
          <w:rFonts w:ascii="Times New Roman" w:hAnsi="Times New Roman" w:cs="Times New Roman"/>
          <w:b/>
          <w:color w:val="303642"/>
        </w:rPr>
      </w:pPr>
      <w:r>
        <w:rPr>
          <w:rFonts w:ascii="Times New Roman" w:hAnsi="Times New Roman" w:cs="Times New Roman"/>
          <w:b/>
          <w:color w:val="303642"/>
        </w:rPr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  <w:t xml:space="preserve">Юридические лица, организующие мероприятия на своих площадках</w:t>
      </w:r>
      <w:r>
        <w:rPr>
          <w:rFonts w:ascii="Times New Roman" w:hAnsi="Times New Roman" w:cs="Times New Roman" w:eastAsia="Arial Narrow"/>
          <w:color w:val="303642"/>
        </w:rPr>
        <w:t xml:space="preserve"> (организаторы мероприятий)</w:t>
      </w:r>
      <w:r>
        <w:rPr>
          <w:rFonts w:ascii="Times New Roman" w:hAnsi="Times New Roman" w:cs="Times New Roman" w:eastAsia="Arial Narrow"/>
          <w:color w:val="303642"/>
        </w:rPr>
        <w:t xml:space="preserve">, могут отменить или изменить параметры мероприятия </w:t>
      </w:r>
      <w:r>
        <w:rPr>
          <w:rFonts w:ascii="Times New Roman" w:hAnsi="Times New Roman" w:cs="Times New Roman" w:eastAsia="Arial Narrow"/>
          <w:color w:val="303642"/>
        </w:rPr>
        <w:t xml:space="preserve">без объяснения причин </w:t>
      </w:r>
      <w:r>
        <w:rPr>
          <w:rFonts w:ascii="Times New Roman" w:hAnsi="Times New Roman" w:cs="Times New Roman" w:eastAsia="Arial Narrow"/>
          <w:color w:val="303642"/>
        </w:rPr>
        <w:t xml:space="preserve">не позднее, чем за 1 (одни) день до даты проведения такого мероприятия.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О любых изменениях </w:t>
      </w:r>
      <w:r>
        <w:rPr>
          <w:rFonts w:ascii="Times New Roman" w:hAnsi="Times New Roman" w:cs="Times New Roman"/>
          <w:color w:val="303642"/>
        </w:rPr>
        <w:t xml:space="preserve">зарегистрированный на мероприятие </w:t>
      </w:r>
      <w:r>
        <w:rPr>
          <w:rFonts w:ascii="Times New Roman" w:hAnsi="Times New Roman" w:cs="Times New Roman"/>
          <w:color w:val="303642"/>
        </w:rPr>
        <w:t xml:space="preserve">пользователь уведомляется посредством направления ему электронного сообщения на адрес электронной почты, указанный им при заполнении </w:t>
      </w:r>
      <w:r>
        <w:rPr>
          <w:rFonts w:ascii="Times New Roman" w:hAnsi="Times New Roman" w:cs="Times New Roman"/>
          <w:color w:val="303642"/>
        </w:rPr>
        <w:t xml:space="preserve">регистрационной </w:t>
      </w:r>
      <w:r>
        <w:rPr>
          <w:rFonts w:ascii="Times New Roman" w:hAnsi="Times New Roman" w:cs="Times New Roman"/>
          <w:color w:val="303642"/>
        </w:rPr>
        <w:t xml:space="preserve">формы.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В случае отмены/изменения мероприяти</w:t>
      </w:r>
      <w:r>
        <w:rPr>
          <w:rFonts w:ascii="Times New Roman" w:hAnsi="Times New Roman" w:cs="Times New Roman"/>
          <w:color w:val="303642"/>
        </w:rPr>
        <w:t xml:space="preserve">я</w:t>
      </w:r>
      <w:r>
        <w:rPr>
          <w:rFonts w:ascii="Times New Roman" w:hAnsi="Times New Roman" w:cs="Times New Roman"/>
          <w:color w:val="303642"/>
        </w:rPr>
        <w:t xml:space="preserve"> </w:t>
      </w:r>
      <w:r>
        <w:rPr>
          <w:rFonts w:ascii="Times New Roman" w:hAnsi="Times New Roman" w:cs="Times New Roman"/>
          <w:color w:val="303642"/>
        </w:rPr>
        <w:t xml:space="preserve">по инициативе организатора мероприятия </w:t>
      </w:r>
      <w:r>
        <w:rPr>
          <w:rFonts w:ascii="Times New Roman" w:hAnsi="Times New Roman" w:cs="Times New Roman"/>
          <w:color w:val="303642"/>
        </w:rPr>
        <w:t xml:space="preserve">в соответствии с настоящим разделом, </w:t>
      </w:r>
      <w:r>
        <w:rPr>
          <w:rFonts w:ascii="Times New Roman" w:hAnsi="Times New Roman" w:cs="Times New Roman"/>
          <w:color w:val="303642"/>
        </w:rPr>
        <w:t xml:space="preserve">никакие денежные компенсации для пользователя не полагаются.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</w:rPr>
        <w:t xml:space="preserve">Если </w:t>
      </w:r>
      <w:r>
        <w:rPr>
          <w:rFonts w:ascii="Times New Roman" w:hAnsi="Times New Roman" w:cs="Times New Roman"/>
        </w:rPr>
        <w:t xml:space="preserve">мероприятие</w:t>
      </w:r>
      <w:r>
        <w:rPr>
          <w:rFonts w:ascii="Times New Roman" w:hAnsi="Times New Roman" w:cs="Times New Roman"/>
        </w:rPr>
        <w:t xml:space="preserve"> невозможно провести, как запланировано, по какому-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либо основанию, выходящему за рамки разумного контроля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организатора мероприятия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в том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числе вследствие военных действий, терроризма, чрезвычайного положения или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катастрофы (включая стихийное бедствие), торговых и иных санкций, заражения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компьютерным вирусом, аппаратных ошибок, </w:t>
      </w:r>
      <w:r>
        <w:rPr>
          <w:rFonts w:ascii="Times New Roman" w:hAnsi="Times New Roman" w:cs="Times New Roman"/>
          <w:spacing w:val="-1"/>
        </w:rPr>
        <w:t xml:space="preserve">манипуляций,</w:t>
      </w:r>
      <w:r>
        <w:rPr>
          <w:rFonts w:ascii="Times New Roman" w:hAnsi="Times New Roman" w:cs="Times New Roman"/>
          <w:spacing w:val="-62"/>
        </w:rPr>
        <w:t xml:space="preserve"> </w:t>
      </w:r>
      <w:r>
        <w:rPr>
          <w:rFonts w:ascii="Times New Roman" w:hAnsi="Times New Roman" w:cs="Times New Roman"/>
        </w:rPr>
        <w:t xml:space="preserve">несанкционированного вмешательства, технических сбоев или любых действий,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которые срывают или затрагивают администрирование, безопасность, объективность, целостность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или надлежащее проведение </w:t>
      </w:r>
      <w:r>
        <w:rPr>
          <w:rFonts w:ascii="Times New Roman" w:hAnsi="Times New Roman" w:cs="Times New Roman"/>
        </w:rPr>
        <w:t xml:space="preserve">мероприятия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организатор мероприятия</w:t>
      </w:r>
      <w:r>
        <w:rPr>
          <w:rFonts w:ascii="Times New Roman" w:hAnsi="Times New Roman" w:cs="Times New Roman"/>
        </w:rPr>
        <w:t xml:space="preserve"> сохраняет за собой право,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исключительно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своему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 xml:space="preserve">усмотрению,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 xml:space="preserve">аннулировать,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 xml:space="preserve">прекра</w:t>
      </w:r>
      <w:r>
        <w:rPr>
          <w:rFonts w:ascii="Times New Roman" w:hAnsi="Times New Roman" w:cs="Times New Roman"/>
        </w:rPr>
        <w:t xml:space="preserve">тить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 xml:space="preserve">измен</w:t>
      </w:r>
      <w:r>
        <w:rPr>
          <w:rFonts w:ascii="Times New Roman" w:hAnsi="Times New Roman" w:cs="Times New Roman"/>
        </w:rPr>
        <w:t xml:space="preserve">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приостан</w:t>
      </w:r>
      <w:r>
        <w:rPr>
          <w:rFonts w:ascii="Times New Roman" w:hAnsi="Times New Roman" w:cs="Times New Roman"/>
        </w:rPr>
        <w:t xml:space="preserve">овить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проведение мероприятия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(или),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собственному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усмотрению,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предостав</w:t>
      </w:r>
      <w:r>
        <w:rPr>
          <w:rFonts w:ascii="Times New Roman" w:hAnsi="Times New Roman" w:cs="Times New Roman"/>
        </w:rPr>
        <w:t xml:space="preserve">ить</w:t>
      </w:r>
      <w:r>
        <w:rPr>
          <w:rFonts w:ascii="Times New Roman" w:hAnsi="Times New Roman" w:cs="Times New Roman"/>
        </w:rPr>
        <w:t xml:space="preserve"> альтернативные </w:t>
      </w:r>
      <w:r>
        <w:rPr>
          <w:rFonts w:ascii="Times New Roman" w:hAnsi="Times New Roman" w:cs="Times New Roman"/>
        </w:rPr>
        <w:t xml:space="preserve">мероприятие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684"/>
        <w:ind w:left="420"/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</w:rPr>
        <w:br/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</w:r>
      <w:r/>
    </w:p>
    <w:p>
      <w:pPr>
        <w:pStyle w:val="684"/>
        <w:numPr>
          <w:ilvl w:val="0"/>
          <w:numId w:val="5"/>
        </w:numPr>
        <w:jc w:val="both"/>
        <w:spacing w:before="0" w:line="240" w:lineRule="auto"/>
        <w:rPr>
          <w:rFonts w:ascii="Times New Roman" w:hAnsi="Times New Roman" w:cs="Times New Roman"/>
          <w:b/>
          <w:color w:val="303642"/>
        </w:rPr>
      </w:pPr>
      <w:r>
        <w:rPr>
          <w:rFonts w:ascii="Times New Roman" w:hAnsi="Times New Roman" w:cs="Times New Roman"/>
          <w:b/>
          <w:color w:val="303642"/>
        </w:rPr>
        <w:t xml:space="preserve">Общие правила посещения мероприятий</w:t>
      </w:r>
      <w:r/>
    </w:p>
    <w:p>
      <w:pPr>
        <w:pStyle w:val="684"/>
        <w:ind w:left="420"/>
        <w:jc w:val="both"/>
        <w:spacing w:before="0" w:line="240" w:lineRule="auto"/>
        <w:rPr>
          <w:rFonts w:ascii="Times New Roman" w:hAnsi="Times New Roman" w:cs="Times New Roman"/>
          <w:b/>
          <w:color w:val="303642"/>
        </w:rPr>
      </w:pPr>
      <w:r>
        <w:rPr>
          <w:rFonts w:ascii="Times New Roman" w:hAnsi="Times New Roman" w:cs="Times New Roman"/>
          <w:b/>
          <w:color w:val="303642"/>
        </w:rPr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Организатором мероприятия</w:t>
      </w:r>
      <w:r>
        <w:rPr>
          <w:rFonts w:ascii="Times New Roman" w:hAnsi="Times New Roman" w:cs="Times New Roman"/>
          <w:color w:val="303642"/>
        </w:rPr>
        <w:t xml:space="preserve"> могут быть установлены возрастные ограничения</w:t>
      </w:r>
      <w:r>
        <w:rPr>
          <w:rFonts w:ascii="Times New Roman" w:hAnsi="Times New Roman" w:cs="Times New Roman"/>
          <w:color w:val="303642"/>
        </w:rPr>
        <w:t xml:space="preserve"> для посещения мероприятия, а также предусмотрено </w:t>
      </w:r>
      <w:r>
        <w:rPr>
          <w:rFonts w:ascii="Times New Roman" w:hAnsi="Times New Roman" w:cs="Times New Roman"/>
          <w:color w:val="303642"/>
        </w:rPr>
        <w:t xml:space="preserve">обязательно</w:t>
      </w:r>
      <w:r>
        <w:rPr>
          <w:rFonts w:ascii="Times New Roman" w:hAnsi="Times New Roman" w:cs="Times New Roman"/>
          <w:color w:val="303642"/>
        </w:rPr>
        <w:t xml:space="preserve">е</w:t>
      </w:r>
      <w:r>
        <w:rPr>
          <w:rFonts w:ascii="Times New Roman" w:hAnsi="Times New Roman" w:cs="Times New Roman"/>
          <w:color w:val="303642"/>
        </w:rPr>
        <w:t xml:space="preserve"> сопровождени</w:t>
      </w:r>
      <w:r>
        <w:rPr>
          <w:rFonts w:ascii="Times New Roman" w:hAnsi="Times New Roman" w:cs="Times New Roman"/>
          <w:color w:val="303642"/>
        </w:rPr>
        <w:t xml:space="preserve">е несовершеннолетнего пользователя</w:t>
      </w:r>
      <w:r>
        <w:rPr>
          <w:rFonts w:ascii="Times New Roman" w:hAnsi="Times New Roman" w:cs="Times New Roman"/>
          <w:color w:val="303642"/>
        </w:rPr>
        <w:t xml:space="preserve"> совершеннолетним лицом.</w:t>
      </w:r>
      <w:r>
        <w:rPr>
          <w:rFonts w:ascii="Times New Roman" w:hAnsi="Times New Roman" w:cs="Times New Roman"/>
          <w:color w:val="303642"/>
        </w:rPr>
        <w:t xml:space="preserve"> Данные сведения указываются в описании мероприятия на сайте Акции и доступны в свободном режиме. Пользователь до осуществления регистрации на мероприяти</w:t>
      </w:r>
      <w:r>
        <w:rPr>
          <w:rFonts w:ascii="Times New Roman" w:hAnsi="Times New Roman" w:cs="Times New Roman"/>
          <w:color w:val="303642"/>
        </w:rPr>
        <w:t xml:space="preserve">е обязан ознакомиться с описанием мероприятия.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Организатор мероприятия не обеспечивает транспортное сопровождение зарегистрированного пользователя на мероприятие. </w:t>
      </w:r>
      <w:r>
        <w:rPr>
          <w:rFonts w:ascii="Times New Roman" w:hAnsi="Times New Roman" w:cs="Times New Roman"/>
          <w:color w:val="303642"/>
        </w:rPr>
        <w:t xml:space="preserve">Трансфер до места проведения мероприятия пользователь осуществляет самостоятельно.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Пользователь должен прибыть к месту проведения мероприятия </w:t>
      </w:r>
      <w:r>
        <w:rPr>
          <w:rFonts w:ascii="Times New Roman" w:hAnsi="Times New Roman" w:cs="Times New Roman"/>
          <w:color w:val="303642"/>
        </w:rPr>
        <w:t xml:space="preserve">не позднее, чем </w:t>
      </w:r>
      <w:r>
        <w:rPr>
          <w:rFonts w:ascii="Times New Roman" w:hAnsi="Times New Roman" w:cs="Times New Roman"/>
          <w:color w:val="303642"/>
        </w:rPr>
        <w:t xml:space="preserve">за 20 (двадцать) минут до его начала, в том числе для оформления пропуска</w:t>
      </w:r>
      <w:r>
        <w:rPr>
          <w:rFonts w:ascii="Times New Roman" w:hAnsi="Times New Roman" w:cs="Times New Roman"/>
          <w:color w:val="303642"/>
        </w:rPr>
        <w:t xml:space="preserve">/иных документов для </w:t>
      </w:r>
      <w:r>
        <w:rPr>
          <w:rFonts w:ascii="Times New Roman" w:hAnsi="Times New Roman" w:cs="Times New Roman"/>
          <w:color w:val="303642"/>
        </w:rPr>
        <w:t xml:space="preserve">посещения</w:t>
      </w:r>
      <w:r>
        <w:rPr>
          <w:rFonts w:ascii="Times New Roman" w:hAnsi="Times New Roman" w:cs="Times New Roman"/>
          <w:color w:val="303642"/>
        </w:rPr>
        <w:t xml:space="preserve"> мероприяти</w:t>
      </w:r>
      <w:r>
        <w:rPr>
          <w:rFonts w:ascii="Times New Roman" w:hAnsi="Times New Roman" w:cs="Times New Roman"/>
          <w:color w:val="303642"/>
        </w:rPr>
        <w:t xml:space="preserve">я</w:t>
      </w:r>
      <w:r>
        <w:rPr>
          <w:rFonts w:ascii="Times New Roman" w:hAnsi="Times New Roman" w:cs="Times New Roman"/>
          <w:color w:val="303642"/>
        </w:rPr>
        <w:t xml:space="preserve">. Место и время проведения мероприятия указываются на </w:t>
      </w:r>
      <w:r>
        <w:rPr>
          <w:rFonts w:ascii="Times New Roman" w:hAnsi="Times New Roman" w:cs="Times New Roman"/>
          <w:color w:val="303642"/>
        </w:rPr>
        <w:t xml:space="preserve">странице мероприятия на сайте</w:t>
      </w:r>
      <w:r>
        <w:rPr>
          <w:rFonts w:ascii="Times New Roman" w:hAnsi="Times New Roman" w:cs="Times New Roman"/>
          <w:color w:val="303642"/>
        </w:rPr>
        <w:t xml:space="preserve"> Акции и/или в тексте письма-приглашения.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В случае опоздания пользователя на мероприятие</w:t>
      </w:r>
      <w:r>
        <w:rPr>
          <w:rFonts w:ascii="Times New Roman" w:hAnsi="Times New Roman" w:cs="Times New Roman"/>
          <w:color w:val="303642"/>
        </w:rPr>
        <w:t xml:space="preserve"> (не прибытия пользователя в срок, указанный в п.4.2. настоящих </w:t>
      </w:r>
      <w:r>
        <w:rPr>
          <w:rFonts w:ascii="Times New Roman" w:hAnsi="Times New Roman" w:cs="Times New Roman"/>
          <w:color w:val="303642"/>
        </w:rPr>
        <w:t xml:space="preserve">П</w:t>
      </w:r>
      <w:r>
        <w:rPr>
          <w:rFonts w:ascii="Times New Roman" w:hAnsi="Times New Roman" w:cs="Times New Roman"/>
          <w:color w:val="303642"/>
        </w:rPr>
        <w:t xml:space="preserve">равил)</w:t>
      </w:r>
      <w:r>
        <w:rPr>
          <w:rFonts w:ascii="Times New Roman" w:hAnsi="Times New Roman" w:cs="Times New Roman"/>
          <w:color w:val="303642"/>
        </w:rPr>
        <w:t xml:space="preserve">, ему может быть отказано в посещении мероприятия</w:t>
      </w:r>
      <w:r>
        <w:rPr>
          <w:rFonts w:ascii="Times New Roman" w:hAnsi="Times New Roman" w:cs="Times New Roman"/>
          <w:color w:val="303642"/>
        </w:rPr>
        <w:t xml:space="preserve">. Отказ в посещении мероприятия по обстоятельствам, за которые отвечает пользователь, не сопровождается</w:t>
      </w:r>
      <w:r>
        <w:rPr>
          <w:rFonts w:ascii="Times New Roman" w:hAnsi="Times New Roman" w:cs="Times New Roman"/>
          <w:color w:val="303642"/>
        </w:rPr>
        <w:t xml:space="preserve"> каки</w:t>
      </w:r>
      <w:r>
        <w:rPr>
          <w:rFonts w:ascii="Times New Roman" w:hAnsi="Times New Roman" w:cs="Times New Roman"/>
          <w:color w:val="303642"/>
        </w:rPr>
        <w:t xml:space="preserve">ми</w:t>
      </w:r>
      <w:r>
        <w:rPr>
          <w:rFonts w:ascii="Times New Roman" w:hAnsi="Times New Roman" w:cs="Times New Roman"/>
          <w:color w:val="303642"/>
        </w:rPr>
        <w:t xml:space="preserve">-либо компенсаци</w:t>
      </w:r>
      <w:r>
        <w:rPr>
          <w:rFonts w:ascii="Times New Roman" w:hAnsi="Times New Roman" w:cs="Times New Roman"/>
          <w:color w:val="303642"/>
        </w:rPr>
        <w:t xml:space="preserve">ями</w:t>
      </w:r>
      <w:r>
        <w:rPr>
          <w:rFonts w:ascii="Times New Roman" w:hAnsi="Times New Roman" w:cs="Times New Roman"/>
          <w:color w:val="303642"/>
        </w:rPr>
        <w:t xml:space="preserve">/возмещени</w:t>
      </w:r>
      <w:r>
        <w:rPr>
          <w:rFonts w:ascii="Times New Roman" w:hAnsi="Times New Roman" w:cs="Times New Roman"/>
          <w:color w:val="303642"/>
        </w:rPr>
        <w:t xml:space="preserve">ем</w:t>
      </w:r>
      <w:r>
        <w:rPr>
          <w:rFonts w:ascii="Times New Roman" w:hAnsi="Times New Roman" w:cs="Times New Roman"/>
          <w:color w:val="303642"/>
        </w:rPr>
        <w:t xml:space="preserve"> расходов</w:t>
      </w:r>
      <w:r>
        <w:rPr>
          <w:rFonts w:ascii="Times New Roman" w:hAnsi="Times New Roman" w:cs="Times New Roman"/>
          <w:color w:val="303642"/>
        </w:rPr>
        <w:t xml:space="preserve"> пользователя</w:t>
      </w:r>
      <w:r>
        <w:rPr>
          <w:rFonts w:ascii="Times New Roman" w:hAnsi="Times New Roman" w:cs="Times New Roman"/>
          <w:color w:val="303642"/>
        </w:rPr>
        <w:t xml:space="preserve">.</w:t>
      </w:r>
      <w:r>
        <w:rPr>
          <w:rFonts w:ascii="Times New Roman" w:hAnsi="Times New Roman" w:cs="Times New Roman"/>
          <w:color w:val="303642"/>
        </w:rPr>
        <w:t xml:space="preserve"> Пользователь не вправе предъявлять требования к организатору мероприятия и/или владельцу сайта Акции об осуществлении каких-либо возмещений. 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Допуск пользователь на мероприятие осуществляется по регистрационным спискам</w:t>
      </w:r>
      <w:r>
        <w:rPr>
          <w:rFonts w:ascii="Times New Roman" w:hAnsi="Times New Roman" w:cs="Times New Roman"/>
          <w:color w:val="303642"/>
        </w:rPr>
        <w:t xml:space="preserve"> организатора мероприятия</w:t>
      </w:r>
      <w:r>
        <w:rPr>
          <w:rFonts w:ascii="Times New Roman" w:hAnsi="Times New Roman" w:cs="Times New Roman"/>
          <w:color w:val="303642"/>
        </w:rPr>
        <w:t xml:space="preserve">.</w:t>
      </w:r>
      <w:r>
        <w:rPr>
          <w:rFonts w:ascii="Times New Roman" w:hAnsi="Times New Roman" w:cs="Times New Roman"/>
          <w:color w:val="303642"/>
        </w:rPr>
        <w:t xml:space="preserve"> 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Пользователю необходимо при себе иметь оригинальный общегражданский паспорт данного лица / оригинал или качественную копию свидетельство о рождении, данные из которых были заявлены пользователем при заполнении формы регистрации на мероприятие.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При посещении мероприятий пользователям необходимо пройти вводный инструктаж по технике безопасности и соблюдать внутренние правила предприятия, где проводится мероприятие.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Перемещение по территории экскурсионных</w:t>
      </w:r>
      <w:r>
        <w:rPr>
          <w:rFonts w:ascii="Times New Roman" w:hAnsi="Times New Roman" w:cs="Times New Roman"/>
          <w:color w:val="303642"/>
        </w:rPr>
        <w:t xml:space="preserve">/лекционных</w:t>
      </w:r>
      <w:r>
        <w:rPr>
          <w:rFonts w:ascii="Times New Roman" w:hAnsi="Times New Roman" w:cs="Times New Roman"/>
          <w:color w:val="303642"/>
        </w:rPr>
        <w:t xml:space="preserve"> площадок осуществляется централизованно и в строгом соответствии с указаниями представителя площадки (экскурсовода</w:t>
      </w:r>
      <w:r>
        <w:rPr>
          <w:rFonts w:ascii="Times New Roman" w:hAnsi="Times New Roman" w:cs="Times New Roman"/>
          <w:color w:val="303642"/>
        </w:rPr>
        <w:t xml:space="preserve">, лектора</w:t>
      </w:r>
      <w:r>
        <w:rPr>
          <w:rFonts w:ascii="Times New Roman" w:hAnsi="Times New Roman" w:cs="Times New Roman"/>
          <w:color w:val="303642"/>
        </w:rPr>
        <w:t xml:space="preserve">).</w:t>
      </w:r>
      <w:r/>
    </w:p>
    <w:p>
      <w:pPr>
        <w:pStyle w:val="684"/>
        <w:numPr>
          <w:ilvl w:val="1"/>
          <w:numId w:val="5"/>
        </w:numPr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/>
          <w:color w:val="303642"/>
        </w:rPr>
        <w:t xml:space="preserve">На</w:t>
      </w:r>
      <w:r>
        <w:rPr>
          <w:rFonts w:ascii="Times New Roman" w:hAnsi="Times New Roman" w:cs="Times New Roman"/>
          <w:color w:val="303642"/>
        </w:rPr>
        <w:t xml:space="preserve"> </w:t>
      </w:r>
      <w:r>
        <w:rPr>
          <w:rFonts w:ascii="Times New Roman" w:hAnsi="Times New Roman" w:cs="Times New Roman"/>
          <w:color w:val="303642"/>
        </w:rPr>
        <w:t xml:space="preserve">территории мероприят</w:t>
      </w:r>
      <w:r>
        <w:rPr>
          <w:rFonts w:ascii="Times New Roman" w:hAnsi="Times New Roman" w:cs="Times New Roman"/>
          <w:color w:val="303642"/>
        </w:rPr>
        <w:t xml:space="preserve">ия </w:t>
      </w:r>
      <w:r>
        <w:rPr>
          <w:rFonts w:ascii="Times New Roman" w:hAnsi="Times New Roman" w:cs="Times New Roman"/>
          <w:color w:val="303642"/>
        </w:rPr>
        <w:t xml:space="preserve">строго</w:t>
      </w:r>
      <w:r>
        <w:rPr>
          <w:rFonts w:ascii="Times New Roman" w:hAnsi="Times New Roman" w:cs="Times New Roman"/>
          <w:color w:val="303642"/>
        </w:rPr>
        <w:t xml:space="preserve"> </w:t>
      </w:r>
      <w:r>
        <w:rPr>
          <w:rFonts w:ascii="Times New Roman" w:hAnsi="Times New Roman" w:cs="Times New Roman"/>
          <w:color w:val="303642"/>
        </w:rPr>
        <w:t xml:space="preserve">запрещается: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амостоятельно передвигаться по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территории 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производственным помещениям предприятия без сопровождения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представителя предприятия (экскурсовода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лектора</w:t>
      </w:r>
      <w:r>
        <w:rPr>
          <w:color w:val="303642"/>
          <w:lang w:val="it-IT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риближаться к работающему оборудованию или взаимодействовать с элементами управления оборудования;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спользовать табачные изделия, использовать электронные сигареты, распивать спиртные напитки, употреблять токсические 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наркотические средства, а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также находиться в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состоянии алкогольного, наркотического или токсического опьянения;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роносить на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территорию проведения мероприятия огнестрельное оружие, колющие, режущие 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легко бьющиеся предметы, легковоспламеняющиеся, отравляющие, токсичные, ядовитые вещества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ередвигаться на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велосипедах, самокатах, роликовых коньках, скейтбордах, гироскутерах 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иных подобных транспортных 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спортивных средствах;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существлять фото- 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видеосъемку без разрешения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представителя предприятия (экскурсовода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лектора</w:t>
      </w:r>
      <w:r>
        <w:rPr>
          <w:color w:val="303642"/>
          <w:lang w:val="it-IT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аходиться на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мероприятии с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любыми животными;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ш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уметь, кричать и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громко разговаривать;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/>
        </w:rPr>
        <w:t xml:space="preserve">о</w:t>
      </w:r>
      <w:r>
        <w:rPr>
          <w:color w:val="303642"/>
        </w:rPr>
        <w:t xml:space="preserve">ставлять мусор</w:t>
      </w:r>
      <w:r>
        <w:rPr>
          <w:color w:val="303642"/>
          <w:lang w:val="ru-RU"/>
        </w:rPr>
        <w:t xml:space="preserve">;</w:t>
      </w:r>
      <w:r/>
    </w:p>
    <w:p>
      <w:pPr>
        <w:numPr>
          <w:ilvl w:val="0"/>
          <w:numId w:val="4"/>
        </w:numPr>
        <w:jc w:val="both"/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осуществлять иные действия, указанные в озвученных представителем предприятия правилах поведения на конкретном мероприятии.</w:t>
      </w:r>
      <w:r/>
    </w:p>
    <w:p>
      <w:pPr>
        <w:pStyle w:val="692"/>
        <w:numPr>
          <w:ilvl w:val="1"/>
          <w:numId w:val="5"/>
        </w:numPr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При несоблюдении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пользователем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правил, установленных в 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п.4.8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., п.4.9.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настоящих правил,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посещении мероприятия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ему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может быть отказано</w:t>
      </w:r>
      <w:r>
        <w:rPr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303642"/>
          <w:lang w:val="ru-RU"/>
        </w:rPr>
        <w:t xml:space="preserve">без каких-либо компенсаций/возмещения расходов</w:t>
      </w:r>
      <w:r>
        <w:rPr>
          <w:color w:val="303642"/>
          <w:lang w:val="ru-RU"/>
        </w:rPr>
        <w:t xml:space="preserve">.</w:t>
      </w:r>
      <w:r/>
    </w:p>
    <w:p>
      <w:pPr>
        <w:ind w:left="720"/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r>
      <w:r/>
    </w:p>
    <w:p>
      <w:pPr>
        <w:pStyle w:val="692"/>
        <w:numPr>
          <w:ilvl w:val="0"/>
          <w:numId w:val="5"/>
        </w:numPr>
        <w:jc w:val="both"/>
        <w:rPr>
          <w:rFonts w:eastAsia="Arial Narrow"/>
          <w:b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b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Групповые посещения мероприятий</w:t>
      </w:r>
      <w:r/>
    </w:p>
    <w:p>
      <w:pPr>
        <w:pStyle w:val="692"/>
        <w:ind w:left="420"/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r>
      <w:r/>
    </w:p>
    <w:p>
      <w:pPr>
        <w:pStyle w:val="692"/>
        <w:numPr>
          <w:ilvl w:val="1"/>
          <w:numId w:val="5"/>
        </w:numPr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303642"/>
          <w:lang w:val="ru-RU"/>
        </w:rPr>
        <w:t xml:space="preserve">При необходимости группового посещения мероприятий </w:t>
      </w:r>
      <w:r>
        <w:rPr>
          <w:color w:val="303642"/>
          <w:lang w:val="ru-RU"/>
        </w:rPr>
        <w:t xml:space="preserve">(от школ, ВУЗов, организаций</w:t>
      </w:r>
      <w:r>
        <w:rPr>
          <w:color w:val="303642"/>
          <w:lang w:val="ru-RU"/>
        </w:rPr>
        <w:t xml:space="preserve"> и пр.</w:t>
      </w:r>
      <w:r>
        <w:rPr>
          <w:color w:val="303642"/>
          <w:lang w:val="ru-RU"/>
        </w:rPr>
        <w:t xml:space="preserve">), </w:t>
      </w:r>
      <w:r>
        <w:rPr>
          <w:color w:val="303642"/>
          <w:lang w:val="ru-RU"/>
        </w:rPr>
        <w:t xml:space="preserve">необходимо направить заявку на групповое посещение по адресу электронной почты</w:t>
      </w:r>
      <w:r>
        <w:rPr>
          <w:color w:val="303642"/>
          <w:lang w:val="ru-RU"/>
        </w:rPr>
        <w:t xml:space="preserve">:</w:t>
      </w:r>
      <w:r>
        <w:rPr>
          <w:color w:val="303642"/>
        </w:rPr>
        <w:t xml:space="preserve"> </w:t>
      </w:r>
      <w:r>
        <w:rPr>
          <w:color w:val="000000" w:themeColor="text1"/>
          <w:lang w:val="ru-RU"/>
        </w:rPr>
        <w:t xml:space="preserve">event@10nauki.ru</w:t>
      </w:r>
      <w:r>
        <w:rPr>
          <w:color w:val="000000" w:themeColor="text1"/>
          <w:lang w:val="ru-RU"/>
        </w:rPr>
        <w:t xml:space="preserve">.</w:t>
      </w:r>
      <w:r>
        <w:rPr>
          <w:b/>
          <w:bCs/>
          <w:color w:val="000000" w:themeColor="text1"/>
          <w:lang w:val="ru-RU"/>
        </w:rPr>
        <w:t xml:space="preserve"> </w:t>
      </w:r>
      <w:r>
        <w:rPr>
          <w:color w:val="303642"/>
          <w:lang w:val="ru-RU"/>
        </w:rPr>
        <w:t xml:space="preserve">Каждая заявка на групповое посещение рассматривается в индивидуальном порядке</w:t>
      </w:r>
      <w:r>
        <w:rPr>
          <w:color w:val="303642"/>
          <w:lang w:val="ru-RU"/>
        </w:rPr>
        <w:t xml:space="preserve">.</w:t>
      </w:r>
      <w:r/>
    </w:p>
    <w:p>
      <w:pPr>
        <w:pStyle w:val="692"/>
        <w:ind w:left="420"/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r>
      <w:r/>
    </w:p>
    <w:p>
      <w:pPr>
        <w:pStyle w:val="692"/>
        <w:numPr>
          <w:ilvl w:val="0"/>
          <w:numId w:val="5"/>
        </w:numPr>
        <w:jc w:val="both"/>
        <w:rPr>
          <w:rFonts w:eastAsia="Arial Narrow"/>
          <w:b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b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Прочие положения</w:t>
      </w:r>
      <w:r/>
    </w:p>
    <w:p>
      <w:pPr>
        <w:pStyle w:val="692"/>
        <w:numPr>
          <w:ilvl w:val="1"/>
          <w:numId w:val="5"/>
        </w:numPr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Настоящие Правила действительны в течение 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(трех)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 дат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ы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их 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публикации на сайте Акции. Действия пользователей по акцепту настоящих Правил </w:t>
      </w: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принимается в течение срока действия настоящих Правил.</w:t>
      </w:r>
      <w:r/>
    </w:p>
    <w:p>
      <w:pPr>
        <w:pStyle w:val="692"/>
        <w:numPr>
          <w:ilvl w:val="1"/>
          <w:numId w:val="5"/>
        </w:numPr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Настоящие Правила могут быть изменены/отменены владельцем сайта Акции в одностороннем порядке без предварительного уведомления пользователей и без выплаты каких-либо компенсаций.</w:t>
      </w:r>
      <w:r/>
    </w:p>
    <w:p>
      <w:pPr>
        <w:pStyle w:val="692"/>
        <w:numPr>
          <w:ilvl w:val="1"/>
          <w:numId w:val="5"/>
        </w:numPr>
        <w:contextualSpacing w:val="0"/>
        <w:jc w:val="both"/>
        <w:widowControl w:val="off"/>
        <w:rPr>
          <w:lang w:val="ru-RU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lang w:val="ru-RU"/>
        </w:rPr>
        <w:t xml:space="preserve">Владелец сайта Акции</w:t>
      </w:r>
      <w:r>
        <w:rPr>
          <w:spacing w:val="21"/>
          <w:lang w:val="ru-RU"/>
        </w:rPr>
        <w:t xml:space="preserve"> </w:t>
      </w:r>
      <w:r>
        <w:rPr>
          <w:lang w:val="ru-RU"/>
        </w:rPr>
        <w:t xml:space="preserve">не</w:t>
      </w:r>
      <w:r>
        <w:rPr>
          <w:spacing w:val="80"/>
          <w:lang w:val="ru-RU"/>
        </w:rPr>
        <w:t xml:space="preserve"> </w:t>
      </w:r>
      <w:r>
        <w:rPr>
          <w:lang w:val="ru-RU"/>
        </w:rPr>
        <w:t xml:space="preserve">несет</w:t>
      </w:r>
      <w:r>
        <w:rPr>
          <w:spacing w:val="84"/>
          <w:lang w:val="ru-RU"/>
        </w:rPr>
        <w:t xml:space="preserve"> </w:t>
      </w:r>
      <w:r>
        <w:rPr>
          <w:lang w:val="ru-RU"/>
        </w:rPr>
        <w:t xml:space="preserve">ответственности</w:t>
      </w:r>
      <w:r>
        <w:rPr>
          <w:spacing w:val="81"/>
          <w:lang w:val="ru-RU"/>
        </w:rPr>
        <w:t xml:space="preserve"> </w:t>
      </w:r>
      <w:r>
        <w:rPr>
          <w:lang w:val="ru-RU"/>
        </w:rPr>
        <w:t xml:space="preserve">за</w:t>
      </w:r>
      <w:r>
        <w:rPr>
          <w:spacing w:val="83"/>
          <w:lang w:val="ru-RU"/>
        </w:rPr>
        <w:t xml:space="preserve"> </w:t>
      </w:r>
      <w:r>
        <w:rPr>
          <w:lang w:val="ru-RU"/>
        </w:rPr>
        <w:t xml:space="preserve">сбои</w:t>
      </w:r>
      <w:r>
        <w:rPr>
          <w:spacing w:val="84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83"/>
          <w:lang w:val="ru-RU"/>
        </w:rPr>
        <w:t xml:space="preserve"> </w:t>
      </w:r>
      <w:r>
        <w:rPr>
          <w:lang w:val="ru-RU"/>
        </w:rPr>
        <w:t xml:space="preserve">сети</w:t>
      </w:r>
      <w:r>
        <w:rPr>
          <w:spacing w:val="80"/>
          <w:lang w:val="ru-RU"/>
        </w:rPr>
        <w:t xml:space="preserve"> </w:t>
      </w:r>
      <w:r>
        <w:rPr>
          <w:lang w:val="ru-RU"/>
        </w:rPr>
        <w:t xml:space="preserve">Интернет</w:t>
      </w:r>
      <w:r>
        <w:rPr>
          <w:lang w:val="ru-RU"/>
        </w:rPr>
        <w:t xml:space="preserve">, а </w:t>
      </w:r>
      <w:r>
        <w:rPr>
          <w:lang w:val="ru-RU"/>
        </w:rPr>
        <w:t xml:space="preserve">также за действия (бездействие) организаций, обеспечивающих работу сети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Интернет,</w:t>
      </w:r>
      <w:r>
        <w:rPr>
          <w:spacing w:val="19"/>
          <w:lang w:val="ru-RU"/>
        </w:rPr>
        <w:t xml:space="preserve"> </w:t>
      </w:r>
      <w:r>
        <w:rPr>
          <w:lang w:val="ru-RU"/>
        </w:rPr>
        <w:t xml:space="preserve">за</w:t>
      </w:r>
      <w:r>
        <w:rPr>
          <w:spacing w:val="82"/>
          <w:lang w:val="ru-RU"/>
        </w:rPr>
        <w:t xml:space="preserve"> </w:t>
      </w:r>
      <w:r>
        <w:rPr>
          <w:lang w:val="ru-RU"/>
        </w:rPr>
        <w:t xml:space="preserve">действия</w:t>
      </w:r>
      <w:r>
        <w:rPr>
          <w:spacing w:val="82"/>
          <w:lang w:val="ru-RU"/>
        </w:rPr>
        <w:t xml:space="preserve"> </w:t>
      </w:r>
      <w:r>
        <w:rPr>
          <w:lang w:val="ru-RU"/>
        </w:rPr>
        <w:t xml:space="preserve">(бездействие) организаций-операторов интернет-связи, 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которым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подключен</w:t>
      </w:r>
      <w:r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пользователь.</w:t>
      </w:r>
      <w:r/>
    </w:p>
    <w:p>
      <w:pPr>
        <w:pStyle w:val="692"/>
        <w:numPr>
          <w:ilvl w:val="1"/>
          <w:numId w:val="5"/>
        </w:numPr>
        <w:contextualSpacing w:val="0"/>
        <w:jc w:val="both"/>
        <w:widowControl w:val="off"/>
        <w:rPr>
          <w:lang w:val="ru-RU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lang w:val="ru-RU"/>
        </w:rPr>
        <w:t xml:space="preserve">Все </w:t>
      </w:r>
      <w:r>
        <w:rPr>
          <w:lang w:val="ru-RU"/>
        </w:rPr>
        <w:t xml:space="preserve">пользователи</w:t>
      </w:r>
      <w:r>
        <w:rPr>
          <w:lang w:val="ru-RU"/>
        </w:rPr>
        <w:t xml:space="preserve"> самостоятельно оплачивают расходы,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понесенные ими в связи с участием в </w:t>
      </w:r>
      <w:r>
        <w:rPr>
          <w:lang w:val="ru-RU"/>
        </w:rPr>
        <w:t xml:space="preserve">Акции</w:t>
      </w:r>
      <w:r>
        <w:rPr>
          <w:lang w:val="ru-RU"/>
        </w:rPr>
        <w:t xml:space="preserve"> (в том числе, без ограничений,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расходы,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связанные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с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доступом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Интернет).</w:t>
      </w:r>
      <w:r/>
    </w:p>
    <w:p>
      <w:pPr>
        <w:pStyle w:val="692"/>
        <w:numPr>
          <w:ilvl w:val="1"/>
          <w:numId w:val="5"/>
        </w:numPr>
        <w:contextualSpacing w:val="0"/>
        <w:jc w:val="both"/>
        <w:widowControl w:val="off"/>
        <w:rPr>
          <w:lang w:val="ru-RU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lang w:val="ru-RU"/>
        </w:rPr>
        <w:t xml:space="preserve">Принимая участие в </w:t>
      </w:r>
      <w:r>
        <w:rPr>
          <w:lang w:val="ru-RU"/>
        </w:rPr>
        <w:t xml:space="preserve">Акции</w:t>
      </w:r>
      <w:r>
        <w:rPr>
          <w:lang w:val="ru-RU"/>
        </w:rPr>
        <w:t xml:space="preserve">, </w:t>
      </w:r>
      <w:r>
        <w:rPr>
          <w:lang w:val="ru-RU"/>
        </w:rPr>
        <w:t xml:space="preserve">пользователь</w:t>
      </w:r>
      <w:r>
        <w:rPr>
          <w:lang w:val="ru-RU"/>
        </w:rPr>
        <w:t xml:space="preserve"> соглашается с тем, что 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персональные данные, а именно: </w:t>
      </w:r>
      <w:r>
        <w:rPr>
          <w:rFonts w:eastAsia="Times New Roman"/>
          <w:lang w:val="ru-RU" w:eastAsia="ar-SA"/>
        </w:rPr>
        <w:t xml:space="preserve">фамилия, имя и отчество, дата рождения,</w:t>
      </w:r>
      <w:r>
        <w:rPr>
          <w:rFonts w:eastAsia="Calibri"/>
          <w:lang w:val="ru-RU"/>
        </w:rPr>
        <w:t xml:space="preserve"> адрес электронной почты, номер телефона</w:t>
      </w:r>
      <w:r>
        <w:rPr>
          <w:rFonts w:eastAsia="Calibri"/>
          <w:lang w:val="ru-RU"/>
        </w:rPr>
        <w:t xml:space="preserve">, </w:t>
      </w:r>
      <w:r>
        <w:rPr>
          <w:lang w:val="ru-RU"/>
        </w:rPr>
        <w:t xml:space="preserve">а также изображение </w:t>
      </w:r>
      <w:r>
        <w:rPr>
          <w:lang w:val="ru-RU"/>
        </w:rPr>
        <w:t xml:space="preserve">пользователя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 xml:space="preserve">могут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быть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опубликованы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при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 xml:space="preserve">размещении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информации об Акции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сети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Интернет</w:t>
      </w:r>
      <w:r>
        <w:rPr>
          <w:lang w:val="ru-RU"/>
        </w:rPr>
        <w:t xml:space="preserve"> и на телевидении</w:t>
      </w:r>
      <w:r>
        <w:rPr>
          <w:lang w:val="ru-RU"/>
        </w:rPr>
        <w:t xml:space="preserve">.</w:t>
      </w:r>
      <w:r/>
    </w:p>
    <w:p>
      <w:pPr>
        <w:pStyle w:val="692"/>
        <w:numPr>
          <w:ilvl w:val="1"/>
          <w:numId w:val="5"/>
        </w:numPr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ru-RU"/>
        </w:rPr>
        <w:t xml:space="preserve">Действующая редакция настоящ</w:t>
      </w:r>
      <w:r>
        <w:rPr>
          <w:lang w:val="ru-RU"/>
        </w:rPr>
        <w:t xml:space="preserve">их Правил </w:t>
      </w:r>
      <w:r>
        <w:rPr>
          <w:lang w:val="ru-RU"/>
        </w:rPr>
        <w:t xml:space="preserve">размещена в сети Интернет и доступна </w:t>
      </w:r>
      <w:r>
        <w:rPr>
          <w:lang w:val="ru-RU"/>
        </w:rPr>
        <w:br/>
      </w:r>
      <w:r>
        <w:rPr>
          <w:lang w:val="ru-RU"/>
        </w:rPr>
        <w:t xml:space="preserve">по адресу: </w:t>
      </w:r>
      <w:hyperlink r:id="rId11" w:tooltip="https://наука.рф" w:history="1">
        <w:r>
          <w:rPr>
            <w:rStyle w:val="681"/>
          </w:rPr>
          <w:t xml:space="preserve">https</w:t>
        </w:r>
        <w:r>
          <w:rPr>
            <w:rStyle w:val="681"/>
            <w:lang w:val="ru-RU"/>
          </w:rPr>
          <w:t xml:space="preserve">://наука.рф</w:t>
        </w:r>
      </w:hyperlink>
      <w:r>
        <w:rPr>
          <w:rStyle w:val="681"/>
          <w:lang w:val="ru-RU"/>
        </w:rPr>
        <w:t xml:space="preserve">.</w:t>
      </w:r>
      <w:r/>
    </w:p>
    <w:p>
      <w:pPr>
        <w:ind w:left="720"/>
        <w:jc w:val="both"/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Narrow"/>
          <w:color w:val="303642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 w:eastAsia="Arial Narrow"/>
          <w:color w:val="303642"/>
        </w:rPr>
      </w:pPr>
      <w:r>
        <w:rPr>
          <w:rFonts w:ascii="Times New Roman" w:hAnsi="Times New Roman" w:cs="Times New Roman" w:eastAsia="Arial Narrow"/>
          <w:color w:val="303642"/>
        </w:rPr>
      </w:r>
      <w:r/>
    </w:p>
    <w:p>
      <w:pPr>
        <w:pStyle w:val="684"/>
        <w:jc w:val="both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03642"/>
        </w:rPr>
        <w:t xml:space="preserve">При возникновении технических или организационных вопросов просим </w:t>
      </w:r>
      <w:r>
        <w:rPr>
          <w:rFonts w:ascii="Times New Roman" w:hAnsi="Times New Roman" w:cs="Times New Roman"/>
          <w:b/>
          <w:bCs/>
          <w:color w:val="303642"/>
        </w:rPr>
        <w:t xml:space="preserve">направить их по адресу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event@10nauki.ru</w:t>
      </w:r>
      <w:r>
        <w:rPr>
          <w:rFonts w:ascii="Times New Roman" w:hAnsi="Times New Roman" w:cs="Times New Roman"/>
          <w:b/>
          <w:bCs/>
          <w:color w:val="303642"/>
        </w:rPr>
        <w:t xml:space="preserve">.</w:t>
      </w:r>
      <w:r/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1134" w:bottom="1134" w:left="1134" w:header="709" w:footer="8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Calibri">
    <w:panose1 w:val="020F0502020204030204"/>
  </w:font>
  <w:font w:name="helvetica neue">
    <w:panose1 w:val="020B0604030504040204"/>
  </w:font>
  <w:font w:name="Arial">
    <w:panose1 w:val="020B0604020202020204"/>
  </w:font>
  <w:font w:name="Arial Unicode MS">
    <w:panose1 w:val="020B0604020202020204"/>
  </w:font>
  <w:font w:name="Arial Narrow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686"/>
    <w:lvl w:ilvl="0">
      <w:start w:val="1"/>
      <w:numFmt w:val="bullet"/>
      <w:pStyle w:val="686"/>
      <w:isLgl w:val="false"/>
      <w:suff w:val="tab"/>
      <w:lvlText w:val="•"/>
      <w:lvlJc w:val="left"/>
      <w:pPr>
        <w:ind w:left="720" w:hanging="500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87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109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31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153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175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197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219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2418" w:hanging="438"/>
      </w:pPr>
      <w:rPr>
        <w:rFonts w:ascii="Arial" w:hAnsi="Arial" w:cs="Arial" w:eastAsia="Arial"/>
        <w:b w:val="0"/>
        <w:bCs w:val="0"/>
        <w:i w:val="0"/>
        <w:iCs w:val="0"/>
        <w:caps w:val="0"/>
        <w:smallCaps w:val="0"/>
        <w:strike w:val="false"/>
        <w:color w:val="303642"/>
        <w:spacing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multiLevelType w:val="hybridMultilevel"/>
    <w:styleLink w:val="685"/>
    <w:lvl w:ilvl="0">
      <w:start w:val="1"/>
      <w:numFmt w:val="decimal"/>
      <w:pStyle w:val="685"/>
      <w:isLgl w:val="false"/>
      <w:suff w:val="tab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false"/>
        <w:spacing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68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numStyleLink w:val="68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 Unicode MS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7"/>
    <w:next w:val="67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7"/>
    <w:next w:val="67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7"/>
    <w:next w:val="67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7"/>
    <w:next w:val="67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8"/>
    <w:link w:val="32"/>
    <w:uiPriority w:val="10"/>
    <w:rPr>
      <w:sz w:val="48"/>
      <w:szCs w:val="48"/>
    </w:rPr>
  </w:style>
  <w:style w:type="paragraph" w:styleId="34">
    <w:name w:val="Subtitle"/>
    <w:basedOn w:val="677"/>
    <w:next w:val="67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8"/>
    <w:link w:val="34"/>
    <w:uiPriority w:val="11"/>
    <w:rPr>
      <w:sz w:val="24"/>
      <w:szCs w:val="24"/>
    </w:rPr>
  </w:style>
  <w:style w:type="paragraph" w:styleId="36">
    <w:name w:val="Quote"/>
    <w:basedOn w:val="677"/>
    <w:next w:val="67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7"/>
    <w:next w:val="67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7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78"/>
    <w:link w:val="40"/>
    <w:uiPriority w:val="99"/>
  </w:style>
  <w:style w:type="paragraph" w:styleId="42">
    <w:name w:val="Footer"/>
    <w:basedOn w:val="67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78"/>
    <w:link w:val="42"/>
    <w:uiPriority w:val="99"/>
  </w:style>
  <w:style w:type="paragraph" w:styleId="44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decfe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decfe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5a9fe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74f1e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63d7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e68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42a1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becfe" w:themeFill="accent1" w:themeFillTint="34"/>
    </w:tblPr>
    <w:tblStylePr w:type="band1Horz">
      <w:tcPr>
        <w:shd w:val="clear" w:color="ffffff" w:themeColor="accent1" w:themeTint="75" w:fill="89d3fe" w:themeFill="accent1" w:themeFillTint="75"/>
      </w:tcPr>
    </w:tblStylePr>
    <w:tblStylePr w:type="band1Vert">
      <w:tcPr>
        <w:shd w:val="clear" w:color="ffffff" w:themeColor="accent1" w:themeTint="75" w:fill="89d3fe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d1faf5" w:themeFill="accent2" w:themeFillTint="32"/>
    </w:tblPr>
    <w:tblStylePr w:type="band1Horz">
      <w:tcPr>
        <w:shd w:val="clear" w:color="ffffff" w:themeColor="accent2" w:themeTint="75" w:fill="93f4e8" w:themeFill="accent2" w:themeFillTint="75"/>
      </w:tcPr>
    </w:tblStylePr>
    <w:tblStylePr w:type="band1Vert">
      <w:tcPr>
        <w:shd w:val="clear" w:color="ffffff" w:themeColor="accent2" w:themeTint="75" w:fill="93f4e8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ff7d6" w:themeFill="accent3" w:themeFillTint="34"/>
    </w:tblPr>
    <w:tblStylePr w:type="band1Horz">
      <w:tcPr>
        <w:shd w:val="clear" w:color="ffffff" w:themeColor="accent3" w:themeTint="75" w:fill="b7eda2" w:themeFill="accent3" w:themeFillTint="75"/>
      </w:tcPr>
    </w:tblStylePr>
    <w:tblStylePr w:type="band1Vert">
      <w:tcPr>
        <w:shd w:val="clear" w:color="ffffff" w:themeColor="accent3" w:themeTint="75" w:fill="b7ed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6d5" w:themeFill="accent4" w:themeFillTint="34"/>
    </w:tblPr>
    <w:tblStylePr w:type="band1Horz">
      <w:tcPr>
        <w:shd w:val="clear" w:color="ffffff" w:themeColor="accent4" w:themeTint="75" w:fill="ffeca1" w:themeFill="accent4" w:themeFillTint="75"/>
      </w:tcPr>
    </w:tblStylePr>
    <w:tblStylePr w:type="band1Vert">
      <w:tcPr>
        <w:shd w:val="clear" w:color="ffffff" w:themeColor="accent4" w:themeTint="75" w:fill="ffeca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d93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d93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d93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d93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dfdb" w:themeFill="accent5" w:themeFillTint="34"/>
    </w:tblPr>
    <w:tblStylePr w:type="band1Horz">
      <w:tcPr>
        <w:shd w:val="clear" w:color="ffffff" w:themeColor="accent5" w:themeTint="75" w:fill="ffb6ad" w:themeFill="accent5" w:themeFillTint="75"/>
      </w:tcPr>
    </w:tblStylePr>
    <w:tblStylePr w:type="band1Vert">
      <w:tcPr>
        <w:shd w:val="clear" w:color="ffffff" w:themeColor="accent5" w:themeTint="75" w:fill="ffb6ad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fd9ec" w:themeFill="accent6" w:themeFillTint="34"/>
    </w:tblPr>
    <w:tblStylePr w:type="band1Horz">
      <w:tcPr>
        <w:shd w:val="clear" w:color="ffffff" w:themeColor="accent6" w:themeTint="75" w:fill="ffa6d4" w:themeFill="accent6" w:themeFillTint="75"/>
      </w:tcPr>
    </w:tblStylePr>
    <w:tblStylePr w:type="band1Vert">
      <w:tcPr>
        <w:shd w:val="clear" w:color="ffffff" w:themeColor="accent6" w:themeTint="75" w:fill="ffa6d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f42a1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42a1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f42a1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f42a1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tcPr>
        <w:shd w:val="clear" w:color="ffffff" w:themeColor="accent1" w:themeTint="34" w:fill="cbecfe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008EE0" w:themeColor="accent1" w:themeTint="80" w:themeShade="95"/>
      </w:rPr>
    </w:tblStylePr>
    <w:tblStylePr w:type="firstRow">
      <w:rPr>
        <w:b/>
        <w:color w:val="008EE0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008EE0" w:themeColor="accent1" w:themeTint="80" w:themeShade="95"/>
      </w:rPr>
    </w:tblStylePr>
    <w:tblStylePr w:type="lastRow">
      <w:rPr>
        <w:b/>
        <w:color w:val="008EE0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tcPr>
        <w:shd w:val="clear" w:color="ffffff" w:themeColor="accent2" w:themeTint="32" w:fill="d1faf5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tcPr>
        <w:shd w:val="clear" w:color="ffffff" w:themeColor="accent3" w:themeTint="34" w:fill="dff7d6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7821A" w:themeColor="accent3" w:themeTint="FE" w:themeShade="95"/>
      </w:rPr>
    </w:tblStylePr>
    <w:tblStylePr w:type="firstRow">
      <w:rPr>
        <w:b/>
        <w:color w:val="37821A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37821A" w:themeColor="accent3" w:themeTint="FE" w:themeShade="95"/>
      </w:rPr>
    </w:tblStylePr>
    <w:tblStylePr w:type="lastRow">
      <w:rPr>
        <w:b/>
        <w:color w:val="37821A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6d5" w:themeFill="accent4" w:themeFillTint="34"/>
      </w:tcPr>
    </w:tblStylePr>
    <w:tblStylePr w:type="band1Vert">
      <w:tcPr>
        <w:shd w:val="clear" w:color="ffffff" w:themeColor="accent4" w:themeTint="34" w:fill="fef6d5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E1AF00" w:themeColor="accent4" w:themeTint="9A" w:themeShade="95"/>
      </w:rPr>
    </w:tblStylePr>
    <w:tblStylePr w:type="firstRow">
      <w:rPr>
        <w:b/>
        <w:color w:val="E1AF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E1AF00" w:themeColor="accent4" w:themeTint="9A" w:themeShade="95"/>
      </w:rPr>
    </w:tblStylePr>
    <w:tblStylePr w:type="lastRow">
      <w:rPr>
        <w:b/>
        <w:color w:val="E1AF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tcPr>
        <w:shd w:val="clear" w:color="ffffff" w:themeColor="accent5" w:themeTint="34" w:fill="ffdfdb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fd9ec" w:themeFill="accent6" w:themeFillTint="34"/>
      </w:tcPr>
    </w:tblStylePr>
    <w:tblStylePr w:type="band1Vert">
      <w:tcPr>
        <w:shd w:val="clear" w:color="ffffff" w:themeColor="accent6" w:themeTint="34" w:fill="ffd9e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008EE0" w:themeColor="accent1" w:themeTint="80" w:themeShade="95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tcPr>
        <w:shd w:val="clear" w:color="ffffff" w:themeColor="accent1" w:themeTint="34" w:fill="cbecfe" w:themeFill="accent1" w:themeFillTint="34"/>
      </w:tcPr>
    </w:tblStylePr>
    <w:tblStylePr w:type="band2Horz">
      <w:rPr>
        <w:rFonts w:ascii="Arial" w:hAnsi="Arial"/>
        <w:color w:val="008EE0" w:themeColor="accent1" w:themeTint="80" w:themeShade="95"/>
        <w:sz w:val="22"/>
      </w:rPr>
    </w:tblStylePr>
    <w:tblStylePr w:type="firstCol">
      <w:rPr>
        <w:rFonts w:ascii="Arial" w:hAnsi="Arial"/>
        <w:i/>
        <w:color w:val="008EE0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008EE0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008EE0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08EE0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tcPr>
        <w:shd w:val="clear" w:color="ffffff" w:themeColor="accent2" w:themeTint="32" w:fill="d1faf5" w:themeFill="accent2" w:themeFillTint="32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37821A" w:themeColor="accent3" w:themeTint="FE" w:themeShade="95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tcPr>
        <w:shd w:val="clear" w:color="ffffff" w:themeColor="accent3" w:themeTint="34" w:fill="dff7d6" w:themeFill="accent3" w:themeFillTint="34"/>
      </w:tcPr>
    </w:tblStylePr>
    <w:tblStylePr w:type="band2Horz">
      <w:rPr>
        <w:rFonts w:ascii="Arial" w:hAnsi="Arial"/>
        <w:color w:val="37821A" w:themeColor="accent3" w:themeTint="FE" w:themeShade="95"/>
        <w:sz w:val="22"/>
      </w:rPr>
    </w:tblStylePr>
    <w:tblStylePr w:type="firstCol">
      <w:rPr>
        <w:rFonts w:ascii="Arial" w:hAnsi="Arial"/>
        <w:i/>
        <w:color w:val="37821A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37821A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37821A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821A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E1AF00" w:themeColor="accent4" w:themeTint="9A" w:themeShade="95"/>
        <w:sz w:val="22"/>
      </w:rPr>
      <w:tcPr>
        <w:shd w:val="clear" w:color="ffffff" w:themeColor="accent4" w:themeTint="34" w:fill="fef6d5" w:themeFill="accent4" w:themeFillTint="34"/>
      </w:tcPr>
    </w:tblStylePr>
    <w:tblStylePr w:type="band1Vert">
      <w:tcPr>
        <w:shd w:val="clear" w:color="ffffff" w:themeColor="accent4" w:themeTint="34" w:fill="fef6d5" w:themeFill="accent4" w:themeFillTint="34"/>
      </w:tcPr>
    </w:tblStylePr>
    <w:tblStylePr w:type="band2Horz">
      <w:rPr>
        <w:rFonts w:ascii="Arial" w:hAnsi="Arial"/>
        <w:color w:val="E1AF00" w:themeColor="accent4" w:themeTint="9A" w:themeShade="95"/>
        <w:sz w:val="22"/>
      </w:rPr>
    </w:tblStylePr>
    <w:tblStylePr w:type="firstCol">
      <w:rPr>
        <w:rFonts w:ascii="Arial" w:hAnsi="Arial"/>
        <w:i/>
        <w:color w:val="E1AF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E1AF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E1AF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E1AF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C21600" w:themeColor="accent5" w:themeShade="95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tcPr>
        <w:shd w:val="clear" w:color="ffffff" w:themeColor="accent5" w:themeTint="34" w:fill="ffdfdb" w:themeFill="accent5" w:themeFillTint="34"/>
      </w:tcPr>
    </w:tblStylePr>
    <w:tblStylePr w:type="band2Horz">
      <w:rPr>
        <w:rFonts w:ascii="Arial" w:hAnsi="Arial"/>
        <w:color w:val="C21600" w:themeColor="accent5" w:themeShade="95"/>
        <w:sz w:val="22"/>
      </w:rPr>
    </w:tblStylePr>
    <w:tblStylePr w:type="firstCol">
      <w:rPr>
        <w:rFonts w:ascii="Arial" w:hAnsi="Arial"/>
        <w:i/>
        <w:color w:val="C216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C216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C216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216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A0060" w:themeColor="accent6" w:themeShade="95"/>
        <w:sz w:val="22"/>
      </w:rPr>
      <w:tcPr>
        <w:shd w:val="clear" w:color="ffffff" w:themeColor="accent6" w:themeTint="34" w:fill="ffd9ec" w:themeFill="accent6" w:themeFillTint="34"/>
      </w:tcPr>
    </w:tblStylePr>
    <w:tblStylePr w:type="band1Vert">
      <w:tcPr>
        <w:shd w:val="clear" w:color="ffffff" w:themeColor="accent6" w:themeTint="34" w:fill="ffd9ec" w:themeFill="accent6" w:themeFillTint="34"/>
      </w:tcPr>
    </w:tblStylePr>
    <w:tblStylePr w:type="band2Horz">
      <w:rPr>
        <w:rFonts w:ascii="Arial" w:hAnsi="Arial"/>
        <w:color w:val="BA0060" w:themeColor="accent6" w:themeShade="95"/>
        <w:sz w:val="22"/>
      </w:rPr>
    </w:tblStylePr>
    <w:tblStylePr w:type="firstCol">
      <w:rPr>
        <w:rFonts w:ascii="Arial" w:hAnsi="Arial"/>
        <w:i/>
        <w:color w:val="BA0060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A0060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A0060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A0060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fe7ff" w:themeFill="accent1" w:themeFillTint="40"/>
      </w:tcPr>
    </w:tblStylePr>
    <w:tblStylePr w:type="band1Vert">
      <w:tcPr>
        <w:shd w:val="clear" w:color="ffffff" w:themeColor="accent1" w:themeTint="40" w:fill="bfe7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c4f9f2" w:themeFill="accent2" w:themeFillTint="40"/>
      </w:tcPr>
    </w:tblStylePr>
    <w:tblStylePr w:type="band1Vert">
      <w:tcPr>
        <w:shd w:val="clear" w:color="ffffff" w:themeColor="accent2" w:themeTint="40" w:fill="c4f9f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d8f5cc" w:themeFill="accent3" w:themeFillTint="40"/>
      </w:tcPr>
    </w:tblStylePr>
    <w:tblStylePr w:type="band1Vert">
      <w:tcPr>
        <w:shd w:val="clear" w:color="ffffff" w:themeColor="accent3" w:themeTint="40" w:fill="d8f5cc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ef4cb" w:themeFill="accent4" w:themeFillTint="40"/>
      </w:tcPr>
    </w:tblStylePr>
    <w:tblStylePr w:type="band1Vert">
      <w:tcPr>
        <w:shd w:val="clear" w:color="ffffff" w:themeColor="accent4" w:themeTint="40" w:fill="fef4cb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ed8d3" w:themeFill="accent5" w:themeFillTint="40"/>
      </w:tcPr>
    </w:tblStylePr>
    <w:tblStylePr w:type="band1Vert">
      <w:tcPr>
        <w:shd w:val="clear" w:color="ffffff" w:themeColor="accent5" w:themeTint="40" w:fill="fed8d3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ecfe7" w:themeFill="accent6" w:themeFillTint="40"/>
      </w:tcPr>
    </w:tblStylePr>
    <w:tblStylePr w:type="band1Vert">
      <w:tcPr>
        <w:shd w:val="clear" w:color="ffffff" w:themeColor="accent6" w:themeTint="40" w:fill="fecfe7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ef4cb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ef4cb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ecfe7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ecfe7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74f1e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a1e7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e68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e9f93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e8dc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ef4cb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ef4cb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d93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ecfe7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ecfe7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42a1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00a2ff" w:themeFill="accent1"/>
    </w:tblPr>
    <w:tblStylePr w:type="band1Horz">
      <w:tcPr>
        <w:shd w:val="clear" w:color="ffffff" w:themeColor="accent1" w:fill="00a2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00a2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00a2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00a2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74f1e1" w:themeFill="accent2" w:themeFillTint="97"/>
    </w:tblPr>
    <w:tblStylePr w:type="band1Horz">
      <w:tcPr>
        <w:shd w:val="clear" w:color="ffffff" w:themeColor="accent2" w:themeTint="97" w:fill="74f1e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74f1e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74f1e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74f1e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a1e786" w:themeFill="accent3" w:themeFillTint="98"/>
    </w:tblPr>
    <w:tblStylePr w:type="band1Horz">
      <w:tcPr>
        <w:shd w:val="clear" w:color="ffffff" w:themeColor="accent3" w:themeTint="98" w:fill="a1e7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a1e7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a1e7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a1e7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e683" w:themeFill="accent4" w:themeFillTint="9A"/>
    </w:tblPr>
    <w:tblStylePr w:type="band1Horz">
      <w:tcPr>
        <w:shd w:val="clear" w:color="ffffff" w:themeColor="accent4" w:themeTint="9A" w:fill="ffe68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e68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e68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e68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e9f93" w:themeFill="accent5" w:themeFillTint="9A"/>
    </w:tblPr>
    <w:tblStylePr w:type="band1Horz">
      <w:tcPr>
        <w:shd w:val="clear" w:color="ffffff" w:themeColor="accent5" w:themeTint="9A" w:fill="fe9f9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e9f93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e9f9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e9f93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e8dc8" w:themeFill="accent6" w:themeFillTint="98"/>
    </w:tblPr>
    <w:tblStylePr w:type="band1Horz">
      <w:tcPr>
        <w:shd w:val="clear" w:color="ffffff" w:themeColor="accent6" w:themeTint="98" w:fill="fe8dc8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e8dc8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e8dc8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e8dc8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tcPr>
        <w:shd w:val="clear" w:color="ffffff" w:themeColor="accent1" w:themeTint="40" w:fill="bfe7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05E94" w:themeColor="accent1" w:themeShade="95"/>
      </w:rPr>
    </w:tblStylePr>
    <w:tblStylePr w:type="firstRow">
      <w:rPr>
        <w:b/>
        <w:color w:val="005E9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05E94" w:themeColor="accent1" w:themeShade="95"/>
      </w:rPr>
    </w:tblStylePr>
    <w:tblStylePr w:type="lastRow">
      <w:rPr>
        <w:b/>
        <w:color w:val="005E9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tcPr>
        <w:shd w:val="clear" w:color="ffffff" w:themeColor="accent2" w:themeTint="40" w:fill="c4f9f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tcPr>
        <w:shd w:val="clear" w:color="ffffff" w:themeColor="accent3" w:themeTint="40" w:fill="d8f5cc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4BB023" w:themeColor="accent3" w:themeTint="98" w:themeShade="95"/>
      </w:rPr>
    </w:tblStylePr>
    <w:tblStylePr w:type="firstRow">
      <w:rPr>
        <w:b/>
        <w:color w:val="4BB023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4BB023" w:themeColor="accent3" w:themeTint="98" w:themeShade="95"/>
      </w:rPr>
    </w:tblStylePr>
    <w:tblStylePr w:type="lastRow">
      <w:rPr>
        <w:b/>
        <w:color w:val="4BB023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ef4cb" w:themeFill="accent4" w:themeFillTint="40"/>
      </w:tcPr>
    </w:tblStylePr>
    <w:tblStylePr w:type="band1Vert">
      <w:tcPr>
        <w:shd w:val="clear" w:color="ffffff" w:themeColor="accent4" w:themeTint="40" w:fill="fef4cb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E1AF00" w:themeColor="accent4" w:themeTint="9A" w:themeShade="95"/>
      </w:rPr>
    </w:tblStylePr>
    <w:tblStylePr w:type="firstRow">
      <w:rPr>
        <w:b/>
        <w:color w:val="E1AF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E1AF00" w:themeColor="accent4" w:themeTint="9A" w:themeShade="95"/>
      </w:rPr>
    </w:tblStylePr>
    <w:tblStylePr w:type="lastRow">
      <w:rPr>
        <w:b/>
        <w:color w:val="E1AF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tcPr>
        <w:shd w:val="clear" w:color="ffffff" w:themeColor="accent5" w:themeTint="40" w:fill="fed8d3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E71702" w:themeColor="accent5" w:themeTint="9A" w:themeShade="95"/>
      </w:rPr>
    </w:tblStylePr>
    <w:tblStylePr w:type="firstRow">
      <w:rPr>
        <w:b/>
        <w:color w:val="E71702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E71702" w:themeColor="accent5" w:themeTint="9A" w:themeShade="95"/>
      </w:rPr>
    </w:tblStylePr>
    <w:tblStylePr w:type="lastRow">
      <w:rPr>
        <w:b/>
        <w:color w:val="E71702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ecfe7" w:themeFill="accent6" w:themeFillTint="40"/>
      </w:tcPr>
    </w:tblStylePr>
    <w:tblStylePr w:type="band1Vert">
      <w:tcPr>
        <w:shd w:val="clear" w:color="ffffff" w:themeColor="accent6" w:themeTint="40" w:fill="fecfe7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E3027C" w:themeColor="accent6" w:themeTint="98" w:themeShade="95"/>
      </w:rPr>
    </w:tblStylePr>
    <w:tblStylePr w:type="firstRow">
      <w:rPr>
        <w:b/>
        <w:color w:val="E3027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E3027C" w:themeColor="accent6" w:themeTint="98" w:themeShade="95"/>
      </w:rPr>
    </w:tblStylePr>
    <w:tblStylePr w:type="lastRow">
      <w:rPr>
        <w:b/>
        <w:color w:val="E3027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05E94" w:themeColor="accent1" w:themeShade="95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tcPr>
        <w:shd w:val="clear" w:color="ffffff" w:themeColor="accent1" w:themeTint="40" w:fill="bfe7ff" w:themeFill="accent1" w:themeFillTint="40"/>
      </w:tcPr>
    </w:tblStylePr>
    <w:tblStylePr w:type="band2Horz">
      <w:rPr>
        <w:rFonts w:ascii="Arial" w:hAnsi="Arial"/>
        <w:color w:val="005E94" w:themeColor="accent1" w:themeShade="95"/>
        <w:sz w:val="22"/>
      </w:rPr>
    </w:tblStylePr>
    <w:tblStylePr w:type="firstCol">
      <w:rPr>
        <w:rFonts w:ascii="Arial" w:hAnsi="Arial"/>
        <w:i/>
        <w:color w:val="005E9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05E9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05E9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05E9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05E94" w:themeColor="accent1" w:themeShade="95"/>
        <w:sz w:val="22"/>
      </w:rPr>
    </w:tblStylePr>
  </w:style>
  <w:style w:type="table" w:styleId="146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tcPr>
        <w:shd w:val="clear" w:color="ffffff" w:themeColor="accent2" w:themeTint="40" w:fill="c4f9f2" w:themeFill="accent2" w:themeFillTint="40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3BCA6" w:themeColor="accent2" w:themeTint="97" w:themeShade="95"/>
        <w:sz w:val="22"/>
      </w:rPr>
    </w:tblStylePr>
  </w:style>
  <w:style w:type="table" w:styleId="147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BB023" w:themeColor="accent3" w:themeTint="98" w:themeShade="95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tcPr>
        <w:shd w:val="clear" w:color="ffffff" w:themeColor="accent3" w:themeTint="40" w:fill="d8f5cc" w:themeFill="accent3" w:themeFillTint="40"/>
      </w:tcPr>
    </w:tblStylePr>
    <w:tblStylePr w:type="band2Horz">
      <w:rPr>
        <w:rFonts w:ascii="Arial" w:hAnsi="Arial"/>
        <w:color w:val="4BB023" w:themeColor="accent3" w:themeTint="98" w:themeShade="95"/>
        <w:sz w:val="22"/>
      </w:rPr>
    </w:tblStylePr>
    <w:tblStylePr w:type="firstCol">
      <w:rPr>
        <w:rFonts w:ascii="Arial" w:hAnsi="Arial"/>
        <w:i/>
        <w:color w:val="4BB023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4BB023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4BB023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B023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B023" w:themeColor="accent3" w:themeTint="98" w:themeShade="95"/>
        <w:sz w:val="22"/>
      </w:rPr>
    </w:tblStylePr>
  </w:style>
  <w:style w:type="table" w:styleId="148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E1AF00" w:themeColor="accent4" w:themeTint="9A" w:themeShade="95"/>
        <w:sz w:val="22"/>
      </w:rPr>
      <w:tcPr>
        <w:shd w:val="clear" w:color="ffffff" w:themeColor="accent4" w:themeTint="40" w:fill="fef4cb" w:themeFill="accent4" w:themeFillTint="40"/>
      </w:tcPr>
    </w:tblStylePr>
    <w:tblStylePr w:type="band1Vert">
      <w:tcPr>
        <w:shd w:val="clear" w:color="ffffff" w:themeColor="accent4" w:themeTint="40" w:fill="fef4cb" w:themeFill="accent4" w:themeFillTint="40"/>
      </w:tcPr>
    </w:tblStylePr>
    <w:tblStylePr w:type="band2Horz">
      <w:rPr>
        <w:rFonts w:ascii="Arial" w:hAnsi="Arial"/>
        <w:color w:val="E1AF00" w:themeColor="accent4" w:themeTint="9A" w:themeShade="95"/>
        <w:sz w:val="22"/>
      </w:rPr>
    </w:tblStylePr>
    <w:tblStylePr w:type="firstCol">
      <w:rPr>
        <w:rFonts w:ascii="Arial" w:hAnsi="Arial"/>
        <w:i/>
        <w:color w:val="E1AF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E1AF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E1AF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E1AF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E1AF00" w:themeColor="accent4" w:themeTint="9A" w:themeShade="95"/>
        <w:sz w:val="22"/>
      </w:rPr>
    </w:tblStylePr>
  </w:style>
  <w:style w:type="table" w:styleId="149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E71702" w:themeColor="accent5" w:themeTint="9A" w:themeShade="95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tcPr>
        <w:shd w:val="clear" w:color="ffffff" w:themeColor="accent5" w:themeTint="40" w:fill="fed8d3" w:themeFill="accent5" w:themeFillTint="40"/>
      </w:tcPr>
    </w:tblStylePr>
    <w:tblStylePr w:type="band2Horz">
      <w:rPr>
        <w:rFonts w:ascii="Arial" w:hAnsi="Arial"/>
        <w:color w:val="E71702" w:themeColor="accent5" w:themeTint="9A" w:themeShade="95"/>
        <w:sz w:val="22"/>
      </w:rPr>
    </w:tblStylePr>
    <w:tblStylePr w:type="firstCol">
      <w:rPr>
        <w:rFonts w:ascii="Arial" w:hAnsi="Arial"/>
        <w:i/>
        <w:color w:val="E71702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E71702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E71702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E71702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E71702" w:themeColor="accent5" w:themeTint="9A" w:themeShade="95"/>
        <w:sz w:val="22"/>
      </w:rPr>
    </w:tblStylePr>
  </w:style>
  <w:style w:type="table" w:styleId="150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E3027C" w:themeColor="accent6" w:themeTint="98" w:themeShade="95"/>
        <w:sz w:val="22"/>
      </w:rPr>
      <w:tcPr>
        <w:shd w:val="clear" w:color="ffffff" w:themeColor="accent6" w:themeTint="40" w:fill="fecfe7" w:themeFill="accent6" w:themeFillTint="40"/>
      </w:tcPr>
    </w:tblStylePr>
    <w:tblStylePr w:type="band1Vert">
      <w:tcPr>
        <w:shd w:val="clear" w:color="ffffff" w:themeColor="accent6" w:themeTint="40" w:fill="fecfe7" w:themeFill="accent6" w:themeFillTint="40"/>
      </w:tcPr>
    </w:tblStylePr>
    <w:tblStylePr w:type="band2Horz">
      <w:rPr>
        <w:rFonts w:ascii="Arial" w:hAnsi="Arial"/>
        <w:color w:val="E3027C" w:themeColor="accent6" w:themeTint="98" w:themeShade="95"/>
        <w:sz w:val="22"/>
      </w:rPr>
    </w:tblStylePr>
    <w:tblStylePr w:type="firstCol">
      <w:rPr>
        <w:rFonts w:ascii="Arial" w:hAnsi="Arial"/>
        <w:i/>
        <w:color w:val="E3027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E3027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E3027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E3027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E3027C" w:themeColor="accent6" w:themeTint="98" w:themeShade="95"/>
        <w:sz w:val="22"/>
      </w:rPr>
    </w:tblStylePr>
  </w:style>
  <w:style w:type="table" w:styleId="151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</w:style>
  <w:style w:type="table" w:styleId="153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</w:style>
  <w:style w:type="table" w:styleId="154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</w:style>
  <w:style w:type="table" w:styleId="155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</w:style>
  <w:style w:type="table" w:styleId="156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</w:style>
  <w:style w:type="table" w:styleId="157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</w:style>
  <w:style w:type="table" w:styleId="158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</w:style>
  <w:style w:type="table" w:styleId="160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</w:style>
  <w:style w:type="table" w:styleId="161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</w:style>
  <w:style w:type="table" w:styleId="162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6d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e683" w:themeFill="accent4" w:themeFillTint="9A"/>
      </w:tcPr>
    </w:tblStylePr>
  </w:style>
  <w:style w:type="table" w:styleId="163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</w:style>
  <w:style w:type="table" w:styleId="164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d9e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42a1" w:themeFill="accent6"/>
      </w:tcPr>
    </w:tblStylePr>
  </w:style>
  <w:style w:type="table" w:styleId="165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8"/>
    <w:uiPriority w:val="99"/>
    <w:unhideWhenUsed/>
    <w:rPr>
      <w:vertAlign w:val="superscript"/>
    </w:rPr>
  </w:style>
  <w:style w:type="paragraph" w:styleId="176">
    <w:name w:val="endnote text"/>
    <w:basedOn w:val="67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8"/>
    <w:uiPriority w:val="99"/>
    <w:semiHidden/>
    <w:unhideWhenUsed/>
    <w:rPr>
      <w:vertAlign w:val="superscript"/>
    </w:rPr>
  </w:style>
  <w:style w:type="paragraph" w:styleId="179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sz w:val="24"/>
      <w:szCs w:val="24"/>
      <w:lang w:val="en-US" w:eastAsia="en-US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Hyperlink"/>
    <w:rPr>
      <w:u w:val="single"/>
    </w:rPr>
  </w:style>
  <w:style w:type="table" w:styleId="682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83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684" w:customStyle="1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12700" w14:cap="flat" w14:cmpd="sng" w14:algn="ctr">
        <w14:noFill/>
        <w14:prstDash w14:val="solid"/>
        <w14:miter w14:lim="400000"/>
      </w14:textOutline>
    </w:rPr>
  </w:style>
  <w:style w:type="numbering" w:styleId="685" w:customStyle="1">
    <w:name w:val="С числами"/>
    <w:pPr>
      <w:numPr>
        <w:numId w:val="1"/>
      </w:numPr>
    </w:pPr>
  </w:style>
  <w:style w:type="numbering" w:styleId="686" w:customStyle="1">
    <w:name w:val="Пункт"/>
    <w:pPr>
      <w:numPr>
        <w:numId w:val="3"/>
      </w:numPr>
    </w:pPr>
  </w:style>
  <w:style w:type="paragraph" w:styleId="687">
    <w:name w:val="Balloon Text"/>
    <w:basedOn w:val="677"/>
    <w:link w:val="6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8" w:customStyle="1">
    <w:name w:val="Текст выноски Знак"/>
    <w:basedOn w:val="678"/>
    <w:link w:val="687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styleId="689">
    <w:name w:val="Unresolved Mention"/>
    <w:basedOn w:val="678"/>
    <w:uiPriority w:val="99"/>
    <w:semiHidden/>
    <w:unhideWhenUsed/>
    <w:rPr>
      <w:color w:val="605E5C"/>
      <w:shd w:val="clear" w:color="auto" w:fill="e1dfdd"/>
    </w:rPr>
  </w:style>
  <w:style w:type="numbering" w:styleId="690" w:customStyle="1">
    <w:name w:val="Пункт1"/>
  </w:style>
  <w:style w:type="numbering" w:styleId="691" w:customStyle="1">
    <w:name w:val="Пункт2"/>
  </w:style>
  <w:style w:type="paragraph" w:styleId="692">
    <w:name w:val="List Paragraph"/>
    <w:basedOn w:val="677"/>
    <w:uiPriority w:val="1"/>
    <w:qFormat/>
    <w:pPr>
      <w:contextualSpacing/>
      <w:ind w:left="720"/>
    </w:pPr>
  </w:style>
  <w:style w:type="paragraph" w:styleId="693">
    <w:name w:val="Normal (Web)"/>
    <w:basedOn w:val="677"/>
    <w:uiPriority w:val="99"/>
    <w:semiHidden/>
    <w:unhideWhenUsed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&#1085;&#1072;&#1091;&#1082;&#1072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АНО Национальные Приоритеты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Рябцева Ольга Алексеевна</dc:creator>
  <cp:lastModifiedBy>Андрей Атрощенков</cp:lastModifiedBy>
  <cp:revision>7</cp:revision>
  <dcterms:created xsi:type="dcterms:W3CDTF">2023-05-05T14:58:00Z</dcterms:created>
  <dcterms:modified xsi:type="dcterms:W3CDTF">2023-06-15T13:45:38Z</dcterms:modified>
</cp:coreProperties>
</file>